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739D7" w14:textId="77777777" w:rsidR="00CC1F89" w:rsidRPr="00FB2CC7" w:rsidRDefault="001C09F4" w:rsidP="001C09F4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01165308" wp14:editId="507C0FC7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29CC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024B7E7" w14:textId="154166FB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permStart w:id="1249656637" w:edGrp="everyone"/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r w:rsidR="00D720C6">
            <w:rPr>
              <w:b/>
              <w:sz w:val="24"/>
              <w:szCs w:val="24"/>
            </w:rPr>
            <w:t>Inglês - LEI - Prova 21</w:t>
          </w:r>
          <w:permEnd w:id="1249656637"/>
        </w:sdtContent>
      </w:sdt>
      <w:r w:rsidRPr="00110509">
        <w:rPr>
          <w:b/>
          <w:sz w:val="24"/>
          <w:szCs w:val="24"/>
        </w:rPr>
        <w:t>/</w:t>
      </w:r>
      <w:permStart w:id="1766932146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EB369B">
            <w:rPr>
              <w:b/>
              <w:sz w:val="24"/>
              <w:szCs w:val="24"/>
            </w:rPr>
            <w:t>202</w:t>
          </w:r>
          <w:r w:rsidR="00805891">
            <w:t>5</w:t>
          </w:r>
          <w:permEnd w:id="1766932146"/>
        </w:sdtContent>
      </w:sdt>
    </w:p>
    <w:permStart w:id="382011198" w:edGrp="everyone"/>
    <w:p w14:paraId="6BAFC696" w14:textId="77777777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D720C6">
            <w:rPr>
              <w:sz w:val="24"/>
              <w:szCs w:val="24"/>
            </w:rPr>
            <w:t>3.º Ciclo do Ensino Básico</w:t>
          </w:r>
          <w:permEnd w:id="382011198"/>
        </w:sdtContent>
      </w:sdt>
    </w:p>
    <w:p w14:paraId="51624A63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2CC8AC3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3BF429AA" w14:textId="77777777" w:rsidR="00B11D70" w:rsidRPr="00DC33C2" w:rsidRDefault="00B11D70" w:rsidP="00B11D70">
      <w:permStart w:id="1133066431" w:edGrp="everyone"/>
      <w:r w:rsidRPr="00B11D70">
        <w:t xml:space="preserve">A prova tem por referência o Perfil dos Alunos à Saída da Escolaridade Obrigatória (PA), as Aprendizagens </w:t>
      </w:r>
      <w:r w:rsidR="008D7387">
        <w:t>E</w:t>
      </w:r>
      <w:r w:rsidRPr="00B11D70">
        <w:t xml:space="preserve">ssenciais relativas à disciplina de Inglês – nível </w:t>
      </w:r>
      <w:r w:rsidR="009E6DD7">
        <w:t>B1</w:t>
      </w:r>
      <w:r w:rsidRPr="00B11D70">
        <w:t xml:space="preserve"> e as orientações presentes no Quadro Europeu Comum de Referência para as Línguas – QECR - (2001).</w:t>
      </w:r>
    </w:p>
    <w:p w14:paraId="20EF3BE5" w14:textId="77777777" w:rsidR="00B11D70" w:rsidRPr="00DC33C2" w:rsidRDefault="00B11D70" w:rsidP="00D720C6"/>
    <w:p w14:paraId="14D99191" w14:textId="77777777" w:rsidR="00B11D70" w:rsidRPr="00DC33C2" w:rsidRDefault="00B11D70" w:rsidP="00D720C6"/>
    <w:p w14:paraId="79B22530" w14:textId="77777777" w:rsidR="00D720C6" w:rsidRPr="008F661F" w:rsidRDefault="00D720C6" w:rsidP="00D720C6">
      <w:pPr>
        <w:rPr>
          <w:lang w:val="en-GB"/>
        </w:rPr>
      </w:pPr>
      <w:r w:rsidRPr="008F661F">
        <w:rPr>
          <w:lang w:val="en-GB"/>
        </w:rPr>
        <w:t>Tema: A Tecnologia é fantástica</w:t>
      </w:r>
    </w:p>
    <w:p w14:paraId="4249A783" w14:textId="77777777" w:rsidR="00D720C6" w:rsidRPr="00D720C6" w:rsidRDefault="00D720C6" w:rsidP="00D720C6">
      <w:pPr>
        <w:rPr>
          <w:lang w:val="en-GB"/>
        </w:rPr>
      </w:pPr>
      <w:r w:rsidRPr="00D720C6">
        <w:rPr>
          <w:lang w:val="en-GB"/>
        </w:rPr>
        <w:t>(Technological devices, Smartphone /cell phone uses, Telephone equipment and functions, connected teens, blogosphere);</w:t>
      </w:r>
    </w:p>
    <w:p w14:paraId="1EAC16D9" w14:textId="77777777" w:rsidR="00D720C6" w:rsidRPr="00D720C6" w:rsidRDefault="00D720C6" w:rsidP="00D720C6">
      <w:r w:rsidRPr="00D720C6">
        <w:t xml:space="preserve">Pontos gramaticais: </w:t>
      </w:r>
      <w:r w:rsidR="00EC43F1">
        <w:t xml:space="preserve"> Expressão </w:t>
      </w:r>
      <w:r w:rsidR="00F05F93">
        <w:t>"</w:t>
      </w:r>
      <w:r w:rsidRPr="00D720C6">
        <w:t>Used to</w:t>
      </w:r>
      <w:r w:rsidR="00F05F93">
        <w:t>"</w:t>
      </w:r>
      <w:r w:rsidRPr="00D720C6">
        <w:t>;</w:t>
      </w:r>
    </w:p>
    <w:p w14:paraId="4AF53688" w14:textId="431030AE" w:rsidR="00D720C6" w:rsidRPr="00D720C6" w:rsidRDefault="00D720C6" w:rsidP="00D720C6">
      <w:r w:rsidRPr="00D720C6">
        <w:t xml:space="preserve">                                </w:t>
      </w:r>
      <w:r w:rsidR="00EB369B">
        <w:t xml:space="preserve"> </w:t>
      </w:r>
      <w:r w:rsidRPr="00D720C6">
        <w:t>Tempos verbais (Verb</w:t>
      </w:r>
      <w:r w:rsidR="00DB34FF">
        <w:t xml:space="preserve"> </w:t>
      </w:r>
      <w:r w:rsidRPr="00D720C6">
        <w:t>Tenses);</w:t>
      </w:r>
    </w:p>
    <w:p w14:paraId="3C39E5FC" w14:textId="5F284FA3" w:rsidR="00D720C6" w:rsidRPr="00D720C6" w:rsidRDefault="00D720C6" w:rsidP="00D720C6">
      <w:r w:rsidRPr="00D720C6">
        <w:t xml:space="preserve">                              </w:t>
      </w:r>
      <w:r w:rsidR="00EB369B">
        <w:t xml:space="preserve"> </w:t>
      </w:r>
      <w:r w:rsidRPr="00D720C6">
        <w:t xml:space="preserve">  Frases condicionais -</w:t>
      </w:r>
      <w:r w:rsidR="00EC43F1">
        <w:t>T</w:t>
      </w:r>
      <w:r w:rsidRPr="00D720C6">
        <w:t>ipo 1 e 2 (If</w:t>
      </w:r>
      <w:r w:rsidR="00820F52">
        <w:t>-</w:t>
      </w:r>
      <w:r w:rsidRPr="00D720C6">
        <w:t>Clauses - Type I and II);</w:t>
      </w:r>
    </w:p>
    <w:p w14:paraId="1438C193" w14:textId="2884048C" w:rsidR="00394E72" w:rsidRDefault="00D720C6" w:rsidP="00D720C6">
      <w:pPr>
        <w:autoSpaceDE w:val="0"/>
        <w:autoSpaceDN w:val="0"/>
        <w:adjustRightInd w:val="0"/>
        <w:spacing w:line="360" w:lineRule="auto"/>
        <w:jc w:val="both"/>
      </w:pPr>
      <w:r w:rsidRPr="00D720C6">
        <w:t xml:space="preserve">                               </w:t>
      </w:r>
      <w:r w:rsidR="00EB369B">
        <w:t xml:space="preserve"> </w:t>
      </w:r>
      <w:r w:rsidRPr="00D720C6">
        <w:t xml:space="preserve"> Pronomes Relativos (Relative</w:t>
      </w:r>
      <w:r w:rsidR="00820F52">
        <w:t xml:space="preserve"> </w:t>
      </w:r>
      <w:r w:rsidRPr="00D720C6">
        <w:t xml:space="preserve">pronouns). </w:t>
      </w:r>
    </w:p>
    <w:p w14:paraId="6066F3C0" w14:textId="77777777" w:rsidR="00820F52" w:rsidRDefault="00820F52" w:rsidP="00D720C6">
      <w:pPr>
        <w:autoSpaceDE w:val="0"/>
        <w:autoSpaceDN w:val="0"/>
        <w:adjustRightInd w:val="0"/>
        <w:spacing w:line="360" w:lineRule="auto"/>
        <w:jc w:val="both"/>
      </w:pPr>
    </w:p>
    <w:permEnd w:id="1133066431"/>
    <w:p w14:paraId="68A1F44C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ermStart w:id="1099964179" w:edGrp="everyone"/>
    <w:p w14:paraId="282608DD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D720C6">
            <w:rPr>
              <w:sz w:val="24"/>
              <w:szCs w:val="24"/>
            </w:rPr>
            <w:t>Prova Escrita</w:t>
          </w:r>
          <w:permEnd w:id="1099964179"/>
        </w:sdtContent>
      </w:sdt>
    </w:p>
    <w:p w14:paraId="562EC66C" w14:textId="77777777" w:rsidR="00D720C6" w:rsidRPr="00D720C6" w:rsidRDefault="00394E72" w:rsidP="00D720C6">
      <w:permStart w:id="763063230" w:edGrp="everyone"/>
      <w:r>
        <w:t>Estrutura da prova</w:t>
      </w:r>
      <w:r w:rsidR="003072C4" w:rsidRPr="00FB2CC7">
        <w:rPr>
          <w:sz w:val="24"/>
          <w:szCs w:val="24"/>
        </w:rPr>
        <w:t>.</w:t>
      </w:r>
      <w:r w:rsidR="00D720C6" w:rsidRPr="00D720C6">
        <w:t xml:space="preserve"> A prova é constituída por quatro grupos de questões: compreensão do oral, compreensão textual, vocabulário / funcionamento da língua e produção escrita.</w:t>
      </w:r>
    </w:p>
    <w:p w14:paraId="5B7F09A7" w14:textId="77777777" w:rsidR="00D720C6" w:rsidRPr="00D720C6" w:rsidRDefault="00D720C6" w:rsidP="00D720C6">
      <w:r w:rsidRPr="00D720C6">
        <w:tab/>
      </w:r>
    </w:p>
    <w:p w14:paraId="33A24581" w14:textId="77777777" w:rsidR="00D720C6" w:rsidRPr="00D720C6" w:rsidRDefault="00D720C6" w:rsidP="00D720C6">
      <w:r w:rsidRPr="00D720C6">
        <w:t xml:space="preserve">O Grupo I (compreensão oral) inclui 1 (um) tipo de questão: </w:t>
      </w:r>
    </w:p>
    <w:p w14:paraId="735126AC" w14:textId="77777777" w:rsidR="00D720C6" w:rsidRPr="00D720C6" w:rsidRDefault="00D720C6" w:rsidP="00D720C6">
      <w:r w:rsidRPr="00D720C6">
        <w:t>Itens de seleção.</w:t>
      </w:r>
    </w:p>
    <w:p w14:paraId="0B459943" w14:textId="77777777" w:rsidR="00D720C6" w:rsidRPr="00D720C6" w:rsidRDefault="00D720C6" w:rsidP="00D720C6"/>
    <w:p w14:paraId="08154DB9" w14:textId="77777777" w:rsidR="00D720C6" w:rsidRPr="00D720C6" w:rsidRDefault="00D720C6" w:rsidP="00D720C6">
      <w:r w:rsidRPr="00D720C6">
        <w:t xml:space="preserve">O Grupo II (compreensão textual) inclui 3 (três) tipos de questões: </w:t>
      </w:r>
    </w:p>
    <w:p w14:paraId="34537665" w14:textId="77777777" w:rsidR="00D720C6" w:rsidRPr="00D720C6" w:rsidRDefault="00D720C6" w:rsidP="00D720C6">
      <w:r w:rsidRPr="00D720C6">
        <w:t>Itens de seleção;</w:t>
      </w:r>
    </w:p>
    <w:p w14:paraId="00F1BF69" w14:textId="77777777" w:rsidR="00D720C6" w:rsidRPr="00D720C6" w:rsidRDefault="00D720C6" w:rsidP="00D720C6">
      <w:r w:rsidRPr="00D720C6">
        <w:t>Identificação de sinónimos no texto;</w:t>
      </w:r>
    </w:p>
    <w:p w14:paraId="5548D3E5" w14:textId="77777777" w:rsidR="00D720C6" w:rsidRPr="00D720C6" w:rsidRDefault="00D720C6" w:rsidP="00D720C6">
      <w:r w:rsidRPr="00D720C6">
        <w:t>Completamento de frases.</w:t>
      </w:r>
    </w:p>
    <w:p w14:paraId="65F5CD3C" w14:textId="77777777" w:rsidR="00D720C6" w:rsidRPr="00D720C6" w:rsidRDefault="00D720C6" w:rsidP="00D720C6"/>
    <w:p w14:paraId="21CF6252" w14:textId="77777777" w:rsidR="00D720C6" w:rsidRPr="00D720C6" w:rsidRDefault="00D720C6" w:rsidP="00D720C6">
      <w:r w:rsidRPr="00D720C6">
        <w:t>O Grupo III (vocabulário e funcionamento da língua) inclui 2 (dois) tipos de questões:</w:t>
      </w:r>
    </w:p>
    <w:p w14:paraId="2BFBB05E" w14:textId="77777777" w:rsidR="00D720C6" w:rsidRPr="00D720C6" w:rsidRDefault="00D720C6" w:rsidP="00D720C6">
      <w:pPr>
        <w:rPr>
          <w:rFonts w:eastAsia="Arial Unicode MS"/>
        </w:rPr>
      </w:pPr>
      <w:r w:rsidRPr="00D720C6">
        <w:rPr>
          <w:rFonts w:eastAsia="Arial Unicode MS"/>
        </w:rPr>
        <w:t>Preenchimento de espaços;</w:t>
      </w:r>
    </w:p>
    <w:p w14:paraId="71A9D20C" w14:textId="77777777" w:rsidR="00D720C6" w:rsidRPr="00D720C6" w:rsidRDefault="00D720C6" w:rsidP="00D720C6">
      <w:r w:rsidRPr="00D720C6">
        <w:t xml:space="preserve">Reescrita de frases. </w:t>
      </w:r>
    </w:p>
    <w:p w14:paraId="1AEC16A4" w14:textId="77777777" w:rsidR="00D720C6" w:rsidRPr="00D720C6" w:rsidRDefault="00D720C6" w:rsidP="00D720C6"/>
    <w:p w14:paraId="6E2D43DA" w14:textId="77777777" w:rsidR="00D720C6" w:rsidRPr="00D720C6" w:rsidRDefault="00D720C6" w:rsidP="00D720C6"/>
    <w:p w14:paraId="5990FDD3" w14:textId="77777777" w:rsidR="00D720C6" w:rsidRPr="00D720C6" w:rsidRDefault="00D720C6" w:rsidP="00D720C6">
      <w:r w:rsidRPr="00D720C6">
        <w:t>O Grupo IV (produção escrita) inclui 1 (um) tipo de questão de resposta extensa e orientada</w:t>
      </w:r>
      <w:r w:rsidR="00140586">
        <w:t>.</w:t>
      </w:r>
      <w:r w:rsidR="00820F52">
        <w:t xml:space="preserve"> </w:t>
      </w:r>
      <w:r w:rsidR="00140586">
        <w:t>(O aluno deve usar no mínimo 8</w:t>
      </w:r>
      <w:r w:rsidR="00063B9B">
        <w:t>0 palavras</w:t>
      </w:r>
      <w:r w:rsidR="00140586">
        <w:t>.</w:t>
      </w:r>
      <w:r w:rsidR="00063B9B">
        <w:t>)</w:t>
      </w:r>
      <w:r w:rsidRPr="00D720C6">
        <w:t>.</w:t>
      </w:r>
    </w:p>
    <w:p w14:paraId="2A667CC4" w14:textId="77777777" w:rsidR="00D720C6" w:rsidRPr="00D720C6" w:rsidRDefault="00D720C6" w:rsidP="00D720C6"/>
    <w:p w14:paraId="38CD415F" w14:textId="77777777" w:rsidR="00D720C6" w:rsidRPr="00D720C6" w:rsidRDefault="00D720C6" w:rsidP="00D720C6">
      <w:r w:rsidRPr="00D720C6">
        <w:t>A cotação total do Grupo I é de 10 (dez)</w:t>
      </w:r>
      <w:r w:rsidR="00680EAC">
        <w:t xml:space="preserve"> a 15</w:t>
      </w:r>
      <w:r w:rsidR="00820F52">
        <w:t xml:space="preserve"> </w:t>
      </w:r>
      <w:r w:rsidR="00FC32A6">
        <w:t xml:space="preserve">(quinze) </w:t>
      </w:r>
      <w:r w:rsidRPr="00D720C6">
        <w:t xml:space="preserve">pontos. </w:t>
      </w:r>
    </w:p>
    <w:p w14:paraId="3551AF02" w14:textId="77777777" w:rsidR="00D720C6" w:rsidRPr="00D720C6" w:rsidRDefault="00D720C6" w:rsidP="00D720C6">
      <w:r w:rsidRPr="00D720C6">
        <w:t>A cotação total do Grupo II é de 3</w:t>
      </w:r>
      <w:r w:rsidR="00680EAC">
        <w:t>0</w:t>
      </w:r>
      <w:r w:rsidRPr="00D720C6">
        <w:t xml:space="preserve"> (trinta) </w:t>
      </w:r>
      <w:r w:rsidR="00680EAC">
        <w:t>a</w:t>
      </w:r>
      <w:r w:rsidR="00FC32A6">
        <w:t xml:space="preserve"> 35</w:t>
      </w:r>
      <w:r w:rsidR="00820F52">
        <w:t xml:space="preserve"> </w:t>
      </w:r>
      <w:r w:rsidR="00FC32A6">
        <w:t>(</w:t>
      </w:r>
      <w:r w:rsidR="00680EAC">
        <w:t>trinta e cinco</w:t>
      </w:r>
      <w:r w:rsidR="00FC32A6">
        <w:t>)</w:t>
      </w:r>
      <w:r w:rsidR="00820F52">
        <w:t xml:space="preserve"> </w:t>
      </w:r>
      <w:r w:rsidRPr="00D720C6">
        <w:t>pontos.</w:t>
      </w:r>
    </w:p>
    <w:p w14:paraId="19B39CDF" w14:textId="77777777" w:rsidR="00D720C6" w:rsidRPr="00D720C6" w:rsidRDefault="00D720C6" w:rsidP="00D720C6">
      <w:r w:rsidRPr="00D720C6">
        <w:t>A cotação total do Grupo III é de 3</w:t>
      </w:r>
      <w:r w:rsidR="00FC32A6">
        <w:t>5</w:t>
      </w:r>
      <w:r w:rsidRPr="00D720C6">
        <w:t xml:space="preserve"> (trinta e </w:t>
      </w:r>
      <w:r w:rsidR="00FC32A6">
        <w:t>cinco</w:t>
      </w:r>
      <w:r w:rsidRPr="00D720C6">
        <w:t xml:space="preserve">) </w:t>
      </w:r>
      <w:r w:rsidR="00FC32A6">
        <w:t xml:space="preserve">a 40 (quarenta) </w:t>
      </w:r>
      <w:r w:rsidRPr="00D720C6">
        <w:t>pontos.</w:t>
      </w:r>
    </w:p>
    <w:p w14:paraId="1A95D2E2" w14:textId="77777777" w:rsidR="00394E72" w:rsidRDefault="00D720C6" w:rsidP="00D720C6">
      <w:pPr>
        <w:jc w:val="both"/>
      </w:pPr>
      <w:r w:rsidRPr="00D720C6">
        <w:t>A cotação total do Grupo IV é de 20 (vinte) pontos.</w:t>
      </w:r>
    </w:p>
    <w:p w14:paraId="00C7E09A" w14:textId="77777777" w:rsidR="00820F52" w:rsidRPr="00FB2CC7" w:rsidRDefault="00820F52" w:rsidP="00D720C6">
      <w:pPr>
        <w:jc w:val="both"/>
        <w:rPr>
          <w:sz w:val="24"/>
          <w:szCs w:val="24"/>
        </w:rPr>
      </w:pPr>
    </w:p>
    <w:permEnd w:id="763063230"/>
    <w:p w14:paraId="0F0025C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13B5EEC1" w14:textId="77777777" w:rsidR="00D720C6" w:rsidRPr="00D720C6" w:rsidRDefault="00D720C6" w:rsidP="00D720C6">
      <w:permStart w:id="210769193" w:edGrp="everyone"/>
      <w:r w:rsidRPr="00D720C6">
        <w:t xml:space="preserve">As respostas ilegíveis ou que não possam ser claramente identificadas são classificadas com 0 (zero) pontos. </w:t>
      </w:r>
    </w:p>
    <w:p w14:paraId="45952E94" w14:textId="77777777" w:rsidR="00D720C6" w:rsidRPr="00D720C6" w:rsidRDefault="00D720C6" w:rsidP="00D720C6">
      <w:r w:rsidRPr="00D720C6">
        <w:t>Se o examinando responder a um mesmo item mais do que uma vez, não eliminando inequivocamente a(s) resposta(s) que não deseja que seja(m) classificada(s), deve ser considerada apenas a resposta que surgir em primeiro lugar.</w:t>
      </w:r>
    </w:p>
    <w:p w14:paraId="0728B867" w14:textId="77777777" w:rsidR="00D720C6" w:rsidRPr="00D720C6" w:rsidRDefault="00D720C6" w:rsidP="00D720C6"/>
    <w:p w14:paraId="4036EDEE" w14:textId="77777777" w:rsidR="00D720C6" w:rsidRPr="00D720C6" w:rsidRDefault="00D720C6" w:rsidP="00D720C6">
      <w:r w:rsidRPr="00D720C6">
        <w:t>Grupo I</w:t>
      </w:r>
    </w:p>
    <w:p w14:paraId="1652AB3D" w14:textId="77777777" w:rsidR="00D720C6" w:rsidRPr="00D720C6" w:rsidRDefault="00D720C6" w:rsidP="00D720C6">
      <w:r w:rsidRPr="00D720C6">
        <w:rPr>
          <w:rFonts w:eastAsia="Arial Unicode MS"/>
        </w:rPr>
        <w:t>Itens de seleção: verdadeiro / falso: resposta correta - cotação total; resposta incorreta - zero pontos.</w:t>
      </w:r>
    </w:p>
    <w:p w14:paraId="7C800C96" w14:textId="77777777" w:rsidR="00D720C6" w:rsidRPr="00D720C6" w:rsidRDefault="00D720C6" w:rsidP="00D720C6"/>
    <w:p w14:paraId="576FD6FE" w14:textId="77777777" w:rsidR="00D720C6" w:rsidRPr="00D720C6" w:rsidRDefault="00D720C6" w:rsidP="00D720C6">
      <w:r w:rsidRPr="00D720C6">
        <w:t>Grupo II</w:t>
      </w:r>
    </w:p>
    <w:p w14:paraId="7897BBE4" w14:textId="77777777" w:rsidR="00D720C6" w:rsidRPr="00D720C6" w:rsidRDefault="00D720C6" w:rsidP="00D720C6">
      <w:r w:rsidRPr="00D720C6">
        <w:rPr>
          <w:rFonts w:eastAsia="Arial Unicode MS"/>
        </w:rPr>
        <w:t>Itens de seleção: verdadeiro / falso: resposta correta - cotação total; resposta incorreta - zero pontos.</w:t>
      </w:r>
    </w:p>
    <w:p w14:paraId="70101010" w14:textId="77777777" w:rsidR="00D720C6" w:rsidRPr="00D720C6" w:rsidRDefault="00D720C6" w:rsidP="00D720C6">
      <w:pPr>
        <w:rPr>
          <w:rFonts w:eastAsia="Arial Unicode MS"/>
        </w:rPr>
      </w:pPr>
      <w:r w:rsidRPr="00D720C6">
        <w:lastRenderedPageBreak/>
        <w:t xml:space="preserve">Identificação de sinónimos no texto - </w:t>
      </w:r>
      <w:r w:rsidRPr="00D720C6">
        <w:rPr>
          <w:rFonts w:eastAsia="Arial Unicode MS"/>
        </w:rPr>
        <w:t xml:space="preserve">resposta correta </w:t>
      </w:r>
      <w:r w:rsidRPr="00D720C6">
        <w:t xml:space="preserve">- </w:t>
      </w:r>
      <w:r w:rsidRPr="00D720C6">
        <w:rPr>
          <w:rFonts w:eastAsia="Arial Unicode MS"/>
        </w:rPr>
        <w:t>cotação total; resposta incorreta - zero pontos.</w:t>
      </w:r>
    </w:p>
    <w:p w14:paraId="334527EE" w14:textId="77777777" w:rsidR="00D720C6" w:rsidRPr="00D720C6" w:rsidRDefault="00D720C6" w:rsidP="00D720C6">
      <w:r w:rsidRPr="00D720C6">
        <w:t xml:space="preserve">Completamento de frases: </w:t>
      </w:r>
      <w:r w:rsidRPr="00D720C6">
        <w:rPr>
          <w:rFonts w:eastAsia="Arial Unicode MS"/>
        </w:rPr>
        <w:t xml:space="preserve">resposta correta - cotação total; resposta incorreta - zero pontos; não há lugar a classificações intermédias; </w:t>
      </w:r>
      <w:r w:rsidRPr="00D720C6">
        <w:t>se forem fornecidas mais respostas que as solicitadas, será atribuída a cotação de zero por cento.</w:t>
      </w:r>
    </w:p>
    <w:p w14:paraId="7F19A182" w14:textId="77777777" w:rsidR="00D720C6" w:rsidRPr="00D720C6" w:rsidRDefault="00D720C6" w:rsidP="00D720C6">
      <w:r w:rsidRPr="00D720C6">
        <w:t>Itens de construção de resposta: Perguntas de interpretação sobre o texto: caso a resposta se afaste totalmente do tema e / ou tipologia propostos, será atribuída a cotação de zero por cento, independentemente da qualidade linguística da mesma; sempre que seja exigida justificação, a ausência desta será passível de desconto (no mínimo de 50%) ou invalidação da própria resposta; resposta não estruturada (ex. iniciada por “because”), que se limite a apresentar transcrições textuais que não sejam solicitadas, ou ainda apresente respostas incompletas do ponto de vista do conteúdo, será passível de desconto; quando solicitado, o aluno deverá exprimir a sua opinião pessoal e, caso não o faça, a resposta será passível de desconto; resposta por palavras próprias a exercícios que exijam transcrição, será passível de anulação; c</w:t>
      </w:r>
      <w:r w:rsidRPr="00D720C6">
        <w:rPr>
          <w:rFonts w:eastAsia="Arial Unicode MS"/>
        </w:rPr>
        <w:t>ada erro será passível de desconto.</w:t>
      </w:r>
    </w:p>
    <w:p w14:paraId="15560672" w14:textId="77777777" w:rsidR="00D720C6" w:rsidRPr="00D720C6" w:rsidRDefault="00D720C6" w:rsidP="00D720C6"/>
    <w:p w14:paraId="2041ED9A" w14:textId="77777777" w:rsidR="00D720C6" w:rsidRPr="00D720C6" w:rsidRDefault="00D720C6" w:rsidP="00D720C6">
      <w:r w:rsidRPr="00D720C6">
        <w:rPr>
          <w:rFonts w:eastAsia="Arial Unicode MS"/>
        </w:rPr>
        <w:t>Grupo III</w:t>
      </w:r>
    </w:p>
    <w:p w14:paraId="1C44EA8A" w14:textId="77777777" w:rsidR="00D720C6" w:rsidRPr="00D720C6" w:rsidRDefault="00D720C6" w:rsidP="00D720C6">
      <w:r w:rsidRPr="00D720C6">
        <w:rPr>
          <w:rFonts w:eastAsia="Arial Unicode MS"/>
        </w:rPr>
        <w:t>Preenchimento de espaços: resposta correta - cotação total; resposta incorreta - zero pontos.</w:t>
      </w:r>
    </w:p>
    <w:p w14:paraId="1AE66F73" w14:textId="77777777" w:rsidR="00D720C6" w:rsidRPr="00D720C6" w:rsidRDefault="00D720C6" w:rsidP="00D720C6">
      <w:r w:rsidRPr="00D720C6">
        <w:t xml:space="preserve">Reescrita de frases: </w:t>
      </w:r>
      <w:r w:rsidRPr="00D720C6">
        <w:rPr>
          <w:rFonts w:eastAsia="Arial Unicode MS"/>
        </w:rPr>
        <w:t>resposta correta - cotação total; resposta incorreta - zero pontos; cada erro será passível de desconto.</w:t>
      </w:r>
    </w:p>
    <w:p w14:paraId="154E54EA" w14:textId="77777777" w:rsidR="00D720C6" w:rsidRPr="00D720C6" w:rsidRDefault="00D720C6" w:rsidP="00D720C6">
      <w:pPr>
        <w:rPr>
          <w:rFonts w:eastAsia="Arial Unicode MS"/>
        </w:rPr>
      </w:pPr>
    </w:p>
    <w:p w14:paraId="791C4914" w14:textId="77777777" w:rsidR="00D720C6" w:rsidRPr="00D720C6" w:rsidRDefault="00D720C6" w:rsidP="00D720C6">
      <w:pPr>
        <w:rPr>
          <w:rFonts w:eastAsia="Arial Unicode MS"/>
        </w:rPr>
      </w:pPr>
    </w:p>
    <w:p w14:paraId="4D2C8DAF" w14:textId="77777777" w:rsidR="00D720C6" w:rsidRPr="00D720C6" w:rsidRDefault="00D720C6" w:rsidP="00D720C6">
      <w:r w:rsidRPr="00D720C6">
        <w:rPr>
          <w:rFonts w:eastAsia="Arial Unicode MS"/>
        </w:rPr>
        <w:t>Grupo IV</w:t>
      </w:r>
    </w:p>
    <w:p w14:paraId="41445182" w14:textId="77777777" w:rsidR="00AF02B3" w:rsidRDefault="00D720C6" w:rsidP="00D720C6">
      <w:pPr>
        <w:pStyle w:val="Corpodetexto"/>
        <w:jc w:val="both"/>
        <w:rPr>
          <w:rFonts w:eastAsia="Arial Unicode MS"/>
        </w:rPr>
      </w:pPr>
      <w:r w:rsidRPr="00D720C6">
        <w:t>Produção de um texto de resposta extensa: caso a resposta se afaste totalmente do tema e / ou tipologia propostos, será atribuída a cotação de zero por cento, independentemente da qualidade linguística do texto produzido; a classificação será atribuída de acordo com: organização do texto (clareza, coerência, articulação), profundidade e rigor das ideias expressas, domínio vocabular, correção gramatical e estilo; c</w:t>
      </w:r>
      <w:r w:rsidRPr="00D720C6">
        <w:rPr>
          <w:rFonts w:eastAsia="Arial Unicode MS"/>
        </w:rPr>
        <w:t>ada erro será passível de desconto</w:t>
      </w:r>
      <w:r w:rsidR="00140586">
        <w:rPr>
          <w:rFonts w:eastAsia="Arial Unicode MS"/>
        </w:rPr>
        <w:t xml:space="preserve">; o aluno deve usar no </w:t>
      </w:r>
      <w:r w:rsidR="00306BDF">
        <w:rPr>
          <w:rFonts w:eastAsia="Arial Unicode MS"/>
        </w:rPr>
        <w:t>mínimo 80 palavras</w:t>
      </w:r>
      <w:r w:rsidRPr="00D720C6">
        <w:rPr>
          <w:rFonts w:eastAsia="Arial Unicode MS"/>
        </w:rPr>
        <w:t>.</w:t>
      </w:r>
    </w:p>
    <w:p w14:paraId="74F7C762" w14:textId="77777777" w:rsidR="00820F52" w:rsidRPr="00AF02B3" w:rsidRDefault="00820F52" w:rsidP="00D720C6">
      <w:pPr>
        <w:pStyle w:val="Corpodetexto"/>
        <w:jc w:val="both"/>
      </w:pPr>
    </w:p>
    <w:permEnd w:id="210769193"/>
    <w:p w14:paraId="60A8EEAA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4BD8D788" w14:textId="77777777" w:rsidR="003072C4" w:rsidRDefault="00D720C6" w:rsidP="00FB2CC7">
      <w:pPr>
        <w:jc w:val="both"/>
      </w:pPr>
      <w:permStart w:id="1542334762" w:edGrp="everyone"/>
      <w:r>
        <w:t>90 minutos</w:t>
      </w:r>
    </w:p>
    <w:p w14:paraId="58D16C33" w14:textId="77777777" w:rsidR="00820F52" w:rsidRPr="00FB2CC7" w:rsidRDefault="00820F52" w:rsidP="00FB2CC7">
      <w:pPr>
        <w:jc w:val="both"/>
        <w:rPr>
          <w:sz w:val="24"/>
          <w:szCs w:val="24"/>
        </w:rPr>
      </w:pPr>
    </w:p>
    <w:permEnd w:id="1542334762"/>
    <w:p w14:paraId="7530BAAA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6975F94D" w14:textId="77777777" w:rsidR="00D720C6" w:rsidRPr="00D720C6" w:rsidRDefault="00D720C6" w:rsidP="00D720C6">
      <w:permStart w:id="310082238" w:edGrp="everyone"/>
      <w:r w:rsidRPr="00D720C6">
        <w:t>Apenas pode ser usada caneta/esferográfica de tinta indelével azul ou preta.</w:t>
      </w:r>
    </w:p>
    <w:p w14:paraId="6DE9EE63" w14:textId="77777777" w:rsidR="00D720C6" w:rsidRPr="00D720C6" w:rsidRDefault="00D720C6" w:rsidP="00D720C6">
      <w:r w:rsidRPr="00D720C6">
        <w:t>As respostas são registadas em impresso próprio, fornecido pelo estabelecimento de ensino.</w:t>
      </w:r>
    </w:p>
    <w:p w14:paraId="426B4FFD" w14:textId="77777777" w:rsidR="00D720C6" w:rsidRPr="00D720C6" w:rsidRDefault="003D27C6" w:rsidP="00D720C6">
      <w:r>
        <w:t>Não é</w:t>
      </w:r>
      <w:r w:rsidR="00D720C6" w:rsidRPr="00D720C6">
        <w:t xml:space="preserve"> permitida a utilização de dicionário.</w:t>
      </w:r>
    </w:p>
    <w:p w14:paraId="29E878D9" w14:textId="77777777" w:rsidR="00D720C6" w:rsidRPr="00D720C6" w:rsidRDefault="00D720C6" w:rsidP="00D720C6">
      <w:r w:rsidRPr="00D720C6">
        <w:t>A folha de rascunho fornecida ao aluno não será recolhida para classificação.</w:t>
      </w:r>
    </w:p>
    <w:p w14:paraId="5670F1CD" w14:textId="77777777" w:rsidR="0088604C" w:rsidRPr="00CF663E" w:rsidRDefault="00D720C6" w:rsidP="00CF663E">
      <w:r w:rsidRPr="00D720C6">
        <w:t xml:space="preserve">Não é permitido o uso de corretor. </w:t>
      </w:r>
    </w:p>
    <w:permEnd w:id="310082238"/>
    <w:p w14:paraId="45F91E9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7E06E" w14:textId="77777777" w:rsidR="00B505E3" w:rsidRDefault="00B505E3" w:rsidP="00B66FFE">
      <w:r>
        <w:separator/>
      </w:r>
    </w:p>
  </w:endnote>
  <w:endnote w:type="continuationSeparator" w:id="0">
    <w:p w14:paraId="1D4F884D" w14:textId="77777777" w:rsidR="00B505E3" w:rsidRDefault="00B505E3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5BDC9C2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DB34FF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DB34FF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="005B451C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1CF1E5B4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64494" w14:textId="77777777" w:rsidR="00B505E3" w:rsidRDefault="00B505E3" w:rsidP="00B66FFE">
      <w:r>
        <w:separator/>
      </w:r>
    </w:p>
  </w:footnote>
  <w:footnote w:type="continuationSeparator" w:id="0">
    <w:p w14:paraId="7D0CB678" w14:textId="77777777" w:rsidR="00B505E3" w:rsidRDefault="00B505E3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13719682">
    <w:abstractNumId w:val="1"/>
  </w:num>
  <w:num w:numId="2" w16cid:durableId="1198349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12"/>
    <w:rsid w:val="00063B9B"/>
    <w:rsid w:val="000674A8"/>
    <w:rsid w:val="000862FD"/>
    <w:rsid w:val="00110509"/>
    <w:rsid w:val="00140586"/>
    <w:rsid w:val="00174A7C"/>
    <w:rsid w:val="0019661F"/>
    <w:rsid w:val="00196E64"/>
    <w:rsid w:val="001C09F4"/>
    <w:rsid w:val="001D6E8A"/>
    <w:rsid w:val="00226AEB"/>
    <w:rsid w:val="0025394A"/>
    <w:rsid w:val="00306BDF"/>
    <w:rsid w:val="003072C4"/>
    <w:rsid w:val="0036446D"/>
    <w:rsid w:val="003819CE"/>
    <w:rsid w:val="00394E72"/>
    <w:rsid w:val="003D27C6"/>
    <w:rsid w:val="00462709"/>
    <w:rsid w:val="00463DF9"/>
    <w:rsid w:val="005332DA"/>
    <w:rsid w:val="00577D2C"/>
    <w:rsid w:val="005B451C"/>
    <w:rsid w:val="005F3154"/>
    <w:rsid w:val="00665C18"/>
    <w:rsid w:val="00680EAC"/>
    <w:rsid w:val="006F7112"/>
    <w:rsid w:val="00760AB5"/>
    <w:rsid w:val="007A3821"/>
    <w:rsid w:val="007C3D1D"/>
    <w:rsid w:val="00805891"/>
    <w:rsid w:val="00820F52"/>
    <w:rsid w:val="0087109A"/>
    <w:rsid w:val="0088604C"/>
    <w:rsid w:val="008D7387"/>
    <w:rsid w:val="008F661F"/>
    <w:rsid w:val="009402B6"/>
    <w:rsid w:val="009826A6"/>
    <w:rsid w:val="009E6DD7"/>
    <w:rsid w:val="00A21D16"/>
    <w:rsid w:val="00A55D91"/>
    <w:rsid w:val="00AF02B3"/>
    <w:rsid w:val="00B11D70"/>
    <w:rsid w:val="00B505E3"/>
    <w:rsid w:val="00B66FFE"/>
    <w:rsid w:val="00C1303A"/>
    <w:rsid w:val="00C16B36"/>
    <w:rsid w:val="00C542E2"/>
    <w:rsid w:val="00C62447"/>
    <w:rsid w:val="00CC1F89"/>
    <w:rsid w:val="00CD1E93"/>
    <w:rsid w:val="00CF663E"/>
    <w:rsid w:val="00D17BB2"/>
    <w:rsid w:val="00D21C2D"/>
    <w:rsid w:val="00D526B2"/>
    <w:rsid w:val="00D720C6"/>
    <w:rsid w:val="00D7214D"/>
    <w:rsid w:val="00D8406A"/>
    <w:rsid w:val="00DA7015"/>
    <w:rsid w:val="00DB098C"/>
    <w:rsid w:val="00DB34FF"/>
    <w:rsid w:val="00DC33C2"/>
    <w:rsid w:val="00DF0723"/>
    <w:rsid w:val="00E365DC"/>
    <w:rsid w:val="00E6650D"/>
    <w:rsid w:val="00E72299"/>
    <w:rsid w:val="00E903A8"/>
    <w:rsid w:val="00EB369B"/>
    <w:rsid w:val="00EC43F1"/>
    <w:rsid w:val="00F05F93"/>
    <w:rsid w:val="00FB2CC7"/>
    <w:rsid w:val="00FC3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F82A3"/>
  <w15:docId w15:val="{86703D60-0D80-4732-9AED-5B1C0D8CD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720C6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720C6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174A7C"/>
    <w:rsid w:val="00250616"/>
    <w:rsid w:val="002B0CCD"/>
    <w:rsid w:val="00522371"/>
    <w:rsid w:val="00604FB4"/>
    <w:rsid w:val="006B3DD9"/>
    <w:rsid w:val="00876DB3"/>
    <w:rsid w:val="00AC5557"/>
    <w:rsid w:val="00AD0E8E"/>
    <w:rsid w:val="00B1243B"/>
    <w:rsid w:val="00CC0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55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741</Words>
  <Characters>4007</Characters>
  <Application>Microsoft Office Word</Application>
  <DocSecurity>8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Carla Azevedo</cp:lastModifiedBy>
  <cp:revision>4</cp:revision>
  <dcterms:created xsi:type="dcterms:W3CDTF">2023-04-26T10:58:00Z</dcterms:created>
  <dcterms:modified xsi:type="dcterms:W3CDTF">2025-04-29T21:05:00Z</dcterms:modified>
</cp:coreProperties>
</file>