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92B77" w14:textId="2032F90D" w:rsidR="005F6BCD" w:rsidRPr="005F6BCD" w:rsidRDefault="005F6BCD" w:rsidP="005F6BCD">
      <w:pPr>
        <w:autoSpaceDE w:val="0"/>
        <w:autoSpaceDN w:val="0"/>
        <w:adjustRightInd w:val="0"/>
        <w:spacing w:after="0" w:line="360" w:lineRule="auto"/>
        <w:ind w:left="-720"/>
        <w:jc w:val="center"/>
        <w:rPr>
          <w:rFonts w:ascii="Times New Roman" w:eastAsia="Times New Roman" w:hAnsi="Times New Roman" w:cs="Times New Roman"/>
          <w:b/>
          <w:sz w:val="24"/>
          <w:szCs w:val="24"/>
          <w:lang w:eastAsia="pt-PT"/>
        </w:rPr>
      </w:pPr>
      <w:r w:rsidRPr="005F6BCD">
        <w:rPr>
          <w:rFonts w:ascii="Times New Roman" w:eastAsia="Times New Roman" w:hAnsi="Times New Roman" w:cs="Times New Roman"/>
          <w:b/>
          <w:sz w:val="24"/>
          <w:szCs w:val="24"/>
          <w:lang w:eastAsia="pt-PT"/>
        </w:rPr>
        <w:t>Informação – Prova de equivalência à frequência de Geografia - Prova 18/ 202</w:t>
      </w:r>
      <w:r w:rsidR="005C3175">
        <w:rPr>
          <w:rFonts w:ascii="Times New Roman" w:eastAsia="Times New Roman" w:hAnsi="Times New Roman" w:cs="Times New Roman"/>
          <w:b/>
          <w:sz w:val="24"/>
          <w:szCs w:val="24"/>
          <w:lang w:eastAsia="pt-PT"/>
        </w:rPr>
        <w:t>5</w:t>
      </w:r>
    </w:p>
    <w:p w14:paraId="1AE57B67" w14:textId="3BE408F9" w:rsidR="005F6BCD" w:rsidRPr="005F6BCD" w:rsidRDefault="005F6BCD" w:rsidP="005F6BCD">
      <w:pPr>
        <w:spacing w:after="0" w:line="240" w:lineRule="auto"/>
        <w:jc w:val="center"/>
        <w:rPr>
          <w:rFonts w:ascii="Times New Roman" w:eastAsia="Times New Roman" w:hAnsi="Times New Roman" w:cs="Times New Roman"/>
          <w:sz w:val="24"/>
          <w:szCs w:val="24"/>
          <w:lang w:eastAsia="pt-PT"/>
        </w:rPr>
      </w:pPr>
      <w:r w:rsidRPr="005F6BCD">
        <w:rPr>
          <w:rFonts w:ascii="Times New Roman" w:eastAsia="Times New Roman" w:hAnsi="Times New Roman" w:cs="Times New Roman"/>
          <w:sz w:val="24"/>
          <w:szCs w:val="24"/>
          <w:lang w:eastAsia="pt-PT"/>
        </w:rPr>
        <w:t>3.º Ciclo do Ensino Básico</w:t>
      </w:r>
    </w:p>
    <w:p w14:paraId="70BBEBF7" w14:textId="77777777" w:rsidR="005F6BCD" w:rsidRPr="005F6BCD" w:rsidRDefault="005F6BCD" w:rsidP="005F6BCD">
      <w:pPr>
        <w:spacing w:after="0" w:line="240" w:lineRule="auto"/>
        <w:rPr>
          <w:rFonts w:ascii="Times New Roman" w:eastAsia="Times New Roman" w:hAnsi="Times New Roman" w:cs="Times New Roman"/>
          <w:sz w:val="24"/>
          <w:szCs w:val="24"/>
          <w:lang w:eastAsia="pt-PT"/>
        </w:rPr>
      </w:pPr>
    </w:p>
    <w:p w14:paraId="745862DB" w14:textId="77777777" w:rsidR="005F6BCD" w:rsidRPr="005F6BCD" w:rsidRDefault="005F6BCD" w:rsidP="005F6BCD">
      <w:pPr>
        <w:spacing w:after="0" w:line="240" w:lineRule="auto"/>
        <w:rPr>
          <w:rFonts w:ascii="Times New Roman" w:eastAsia="Times New Roman" w:hAnsi="Times New Roman" w:cs="Times New Roman"/>
          <w:sz w:val="24"/>
          <w:szCs w:val="24"/>
          <w:lang w:eastAsia="pt-PT"/>
        </w:rPr>
      </w:pPr>
    </w:p>
    <w:p w14:paraId="7DD55CC6" w14:textId="77777777" w:rsidR="005F6BCD" w:rsidRPr="005F6BCD" w:rsidRDefault="005F6BCD" w:rsidP="005F6BCD">
      <w:pPr>
        <w:spacing w:after="0" w:line="360" w:lineRule="auto"/>
        <w:ind w:left="-720" w:right="-856"/>
        <w:rPr>
          <w:rFonts w:ascii="Times New Roman" w:eastAsia="Times New Roman" w:hAnsi="Times New Roman" w:cs="Times New Roman"/>
          <w:sz w:val="24"/>
          <w:szCs w:val="24"/>
          <w:lang w:eastAsia="pt-PT"/>
        </w:rPr>
      </w:pPr>
      <w:r w:rsidRPr="005F6BCD">
        <w:rPr>
          <w:rFonts w:ascii="Times New Roman" w:eastAsia="Times New Roman" w:hAnsi="Times New Roman" w:cs="Times New Roman"/>
          <w:b/>
          <w:sz w:val="24"/>
          <w:szCs w:val="24"/>
          <w:lang w:eastAsia="pt-PT"/>
        </w:rPr>
        <w:t>Objeto de avaliação</w:t>
      </w:r>
      <w:r w:rsidRPr="005F6BCD">
        <w:rPr>
          <w:rFonts w:ascii="Times New Roman" w:eastAsia="Times New Roman" w:hAnsi="Times New Roman" w:cs="Times New Roman"/>
          <w:sz w:val="24"/>
          <w:szCs w:val="24"/>
          <w:lang w:eastAsia="pt-PT"/>
        </w:rPr>
        <w:t>:</w:t>
      </w:r>
    </w:p>
    <w:p w14:paraId="7D550373"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A prova a que esta informação se refere incide nas aprendizagens essenciais e foram elaboradas tendo por base os documentos curriculares em vigor e identificam as competências que se pretendem desenvolver com a aprendizagem da Geografia ao longo do 3.º ciclo.</w:t>
      </w:r>
    </w:p>
    <w:p w14:paraId="417245CB"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p>
    <w:p w14:paraId="57EC4FB1"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xml:space="preserve">Temas: </w:t>
      </w:r>
    </w:p>
    <w:p w14:paraId="1FBA1610"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A terra: Estudos e representações</w:t>
      </w:r>
    </w:p>
    <w:p w14:paraId="40ED38B5"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Meio Natural</w:t>
      </w:r>
    </w:p>
    <w:p w14:paraId="67A549E0"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População e Povoamento</w:t>
      </w:r>
    </w:p>
    <w:p w14:paraId="4B0FF336"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Atividades Económicas</w:t>
      </w:r>
    </w:p>
    <w:p w14:paraId="3DF23A7B"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Contrastes de Desenvolvimento</w:t>
      </w:r>
    </w:p>
    <w:p w14:paraId="10BA4EB0"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Ambiente e Sociedade</w:t>
      </w:r>
    </w:p>
    <w:p w14:paraId="56696CC9"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p>
    <w:p w14:paraId="257F335D" w14:textId="77777777" w:rsidR="005F6BCD" w:rsidRPr="005F6BCD" w:rsidRDefault="005F6BCD" w:rsidP="005F6BCD">
      <w:pPr>
        <w:autoSpaceDE w:val="0"/>
        <w:autoSpaceDN w:val="0"/>
        <w:adjustRightInd w:val="0"/>
        <w:spacing w:after="0" w:line="360" w:lineRule="auto"/>
        <w:ind w:left="-720"/>
        <w:jc w:val="both"/>
        <w:rPr>
          <w:rFonts w:ascii="Times New Roman" w:eastAsia="Times New Roman" w:hAnsi="Times New Roman" w:cs="Times New Roman"/>
          <w:b/>
          <w:sz w:val="24"/>
          <w:szCs w:val="24"/>
          <w:lang w:eastAsia="pt-PT"/>
        </w:rPr>
      </w:pPr>
      <w:r w:rsidRPr="005F6BCD">
        <w:rPr>
          <w:rFonts w:ascii="Times New Roman" w:eastAsia="Times New Roman" w:hAnsi="Times New Roman" w:cs="Times New Roman"/>
          <w:b/>
          <w:sz w:val="24"/>
          <w:szCs w:val="24"/>
          <w:lang w:eastAsia="pt-PT"/>
        </w:rPr>
        <w:t>Caraterísticas e estrutura:</w:t>
      </w:r>
    </w:p>
    <w:p w14:paraId="1BE2302F" w14:textId="5CD0CE4A" w:rsidR="005F6BCD" w:rsidRPr="005F6BCD" w:rsidRDefault="005F6BCD" w:rsidP="005F6BCD">
      <w:pPr>
        <w:autoSpaceDE w:val="0"/>
        <w:autoSpaceDN w:val="0"/>
        <w:adjustRightInd w:val="0"/>
        <w:spacing w:after="0" w:line="360" w:lineRule="auto"/>
        <w:ind w:left="-720"/>
        <w:jc w:val="both"/>
        <w:rPr>
          <w:rFonts w:ascii="Times New Roman" w:eastAsia="Times New Roman" w:hAnsi="Times New Roman" w:cs="Times New Roman"/>
          <w:i/>
          <w:sz w:val="24"/>
          <w:szCs w:val="24"/>
          <w:lang w:eastAsia="pt-PT"/>
        </w:rPr>
      </w:pPr>
      <w:r w:rsidRPr="005F6BCD">
        <w:rPr>
          <w:rFonts w:ascii="Times New Roman" w:eastAsia="Times New Roman" w:hAnsi="Times New Roman" w:cs="Times New Roman"/>
          <w:sz w:val="24"/>
          <w:szCs w:val="24"/>
          <w:lang w:eastAsia="pt-PT"/>
        </w:rPr>
        <w:t>Prova Escrita</w:t>
      </w:r>
    </w:p>
    <w:p w14:paraId="4F5F33CB" w14:textId="6068417F"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xml:space="preserve">Todas as páginas da prova são numeradas. A prova termina com a palavra FIM.                                               </w:t>
      </w:r>
    </w:p>
    <w:p w14:paraId="1252DFD8" w14:textId="77777777" w:rsidR="005F6BCD" w:rsidRPr="005F6BCD" w:rsidRDefault="005F6BCD" w:rsidP="005F6BCD">
      <w:pPr>
        <w:spacing w:after="0" w:line="360" w:lineRule="auto"/>
        <w:jc w:val="both"/>
        <w:rPr>
          <w:rFonts w:ascii="Times New Roman" w:eastAsia="Times New Roman" w:hAnsi="Times New Roman" w:cs="Times New Roman"/>
          <w:sz w:val="20"/>
          <w:szCs w:val="20"/>
          <w:lang w:eastAsia="pt-PT"/>
        </w:rPr>
      </w:pPr>
    </w:p>
    <w:p w14:paraId="106226EE"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A prova é constituída por cinco grupos de questões ou itens. A estrutura da prova sintetiza-se no Quadro 1.</w:t>
      </w:r>
    </w:p>
    <w:p w14:paraId="207C3A8D" w14:textId="77777777" w:rsidR="005F6BCD" w:rsidRPr="005F6BCD" w:rsidRDefault="005F6BCD" w:rsidP="005F6BCD">
      <w:pPr>
        <w:spacing w:after="0" w:line="240" w:lineRule="auto"/>
        <w:rPr>
          <w:rFonts w:ascii="Times New Roman" w:eastAsia="Times New Roman" w:hAnsi="Times New Roman" w:cs="Times New Roman"/>
          <w:sz w:val="20"/>
          <w:szCs w:val="20"/>
          <w:lang w:eastAsia="pt-PT"/>
        </w:rPr>
      </w:pPr>
    </w:p>
    <w:p w14:paraId="58DEEEA4" w14:textId="77777777" w:rsidR="005F6BCD" w:rsidRPr="005F6BCD" w:rsidRDefault="005F6BCD" w:rsidP="005F6BCD">
      <w:pPr>
        <w:spacing w:after="0" w:line="240" w:lineRule="auto"/>
        <w:ind w:left="-360"/>
        <w:rPr>
          <w:rFonts w:ascii="Times New Roman" w:eastAsia="Times New Roman" w:hAnsi="Times New Roman" w:cs="Times New Roman"/>
          <w:b/>
          <w:bCs/>
          <w:sz w:val="20"/>
          <w:szCs w:val="20"/>
          <w:lang w:eastAsia="pt-PT"/>
        </w:rPr>
      </w:pPr>
      <w:r w:rsidRPr="005F6BCD">
        <w:rPr>
          <w:rFonts w:ascii="Times New Roman" w:eastAsia="Times New Roman" w:hAnsi="Times New Roman" w:cs="Times New Roman"/>
          <w:b/>
          <w:bCs/>
          <w:sz w:val="20"/>
          <w:szCs w:val="20"/>
          <w:lang w:eastAsia="pt-PT"/>
        </w:rPr>
        <w:t>Quadro 1- Tipologia de itens e Valorização dos temas na prova</w:t>
      </w:r>
    </w:p>
    <w:p w14:paraId="7B75E4FD"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4444"/>
        <w:gridCol w:w="2897"/>
      </w:tblGrid>
      <w:tr w:rsidR="005F6BCD" w:rsidRPr="005F6BCD" w14:paraId="7E6DFA8F" w14:textId="77777777" w:rsidTr="005F6BCD">
        <w:tc>
          <w:tcPr>
            <w:tcW w:w="1379" w:type="dxa"/>
            <w:tcBorders>
              <w:top w:val="single" w:sz="4" w:space="0" w:color="auto"/>
              <w:left w:val="single" w:sz="4" w:space="0" w:color="auto"/>
              <w:bottom w:val="single" w:sz="4" w:space="0" w:color="auto"/>
              <w:right w:val="single" w:sz="4" w:space="0" w:color="auto"/>
            </w:tcBorders>
            <w:hideMark/>
          </w:tcPr>
          <w:p w14:paraId="74DEAED3" w14:textId="77777777" w:rsidR="005F6BCD" w:rsidRPr="005F6BCD" w:rsidRDefault="005F6BCD" w:rsidP="005F6BCD">
            <w:pPr>
              <w:spacing w:after="0" w:line="276" w:lineRule="auto"/>
              <w:rPr>
                <w:rFonts w:ascii="Times New Roman" w:eastAsia="Times New Roman" w:hAnsi="Times New Roman" w:cs="Times New Roman"/>
                <w:b/>
                <w:bCs/>
                <w:i/>
                <w:iCs/>
                <w:spacing w:val="5"/>
                <w:sz w:val="20"/>
                <w:szCs w:val="20"/>
              </w:rPr>
            </w:pPr>
            <w:r w:rsidRPr="005F6BCD">
              <w:rPr>
                <w:rFonts w:ascii="Times New Roman" w:eastAsia="Times New Roman" w:hAnsi="Times New Roman" w:cs="Times New Roman"/>
                <w:b/>
                <w:bCs/>
                <w:i/>
                <w:iCs/>
                <w:spacing w:val="5"/>
                <w:sz w:val="20"/>
                <w:szCs w:val="20"/>
              </w:rPr>
              <w:t>Grupos:</w:t>
            </w:r>
          </w:p>
        </w:tc>
        <w:tc>
          <w:tcPr>
            <w:tcW w:w="4444" w:type="dxa"/>
            <w:tcBorders>
              <w:top w:val="single" w:sz="4" w:space="0" w:color="auto"/>
              <w:left w:val="single" w:sz="4" w:space="0" w:color="auto"/>
              <w:bottom w:val="single" w:sz="4" w:space="0" w:color="auto"/>
              <w:right w:val="single" w:sz="4" w:space="0" w:color="auto"/>
            </w:tcBorders>
            <w:hideMark/>
          </w:tcPr>
          <w:p w14:paraId="1DE5CAAB" w14:textId="77777777" w:rsidR="005F6BCD" w:rsidRPr="005F6BCD" w:rsidRDefault="005F6BCD" w:rsidP="005F6BCD">
            <w:pPr>
              <w:spacing w:after="0" w:line="276" w:lineRule="auto"/>
              <w:rPr>
                <w:rFonts w:ascii="Times New Roman" w:eastAsia="Times New Roman" w:hAnsi="Times New Roman" w:cs="Times New Roman"/>
                <w:b/>
                <w:bCs/>
                <w:i/>
                <w:iCs/>
                <w:spacing w:val="5"/>
                <w:sz w:val="20"/>
                <w:szCs w:val="20"/>
              </w:rPr>
            </w:pPr>
            <w:r w:rsidRPr="005F6BCD">
              <w:rPr>
                <w:rFonts w:ascii="Times New Roman" w:eastAsia="Times New Roman" w:hAnsi="Times New Roman" w:cs="Times New Roman"/>
                <w:b/>
                <w:bCs/>
                <w:i/>
                <w:iCs/>
                <w:spacing w:val="5"/>
                <w:sz w:val="20"/>
                <w:szCs w:val="20"/>
              </w:rPr>
              <w:t>Tipologia dos itens</w:t>
            </w:r>
          </w:p>
        </w:tc>
        <w:tc>
          <w:tcPr>
            <w:tcW w:w="2897" w:type="dxa"/>
            <w:tcBorders>
              <w:top w:val="single" w:sz="4" w:space="0" w:color="auto"/>
              <w:left w:val="single" w:sz="4" w:space="0" w:color="auto"/>
              <w:bottom w:val="single" w:sz="4" w:space="0" w:color="auto"/>
              <w:right w:val="single" w:sz="4" w:space="0" w:color="auto"/>
            </w:tcBorders>
            <w:hideMark/>
          </w:tcPr>
          <w:p w14:paraId="139CB8E6" w14:textId="77777777" w:rsidR="005F6BCD" w:rsidRPr="005F6BCD" w:rsidRDefault="005F6BCD" w:rsidP="005F6BCD">
            <w:pPr>
              <w:spacing w:after="0" w:line="276" w:lineRule="auto"/>
              <w:rPr>
                <w:rFonts w:ascii="Times New Roman" w:eastAsia="Times New Roman" w:hAnsi="Times New Roman" w:cs="Times New Roman"/>
                <w:b/>
                <w:bCs/>
                <w:i/>
                <w:iCs/>
                <w:spacing w:val="5"/>
                <w:sz w:val="20"/>
                <w:szCs w:val="20"/>
              </w:rPr>
            </w:pPr>
            <w:r w:rsidRPr="005F6BCD">
              <w:rPr>
                <w:rFonts w:ascii="Times New Roman" w:eastAsia="Times New Roman" w:hAnsi="Times New Roman" w:cs="Times New Roman"/>
                <w:b/>
                <w:bCs/>
                <w:i/>
                <w:iCs/>
                <w:spacing w:val="5"/>
                <w:sz w:val="20"/>
                <w:szCs w:val="20"/>
              </w:rPr>
              <w:t>Cotação (em pontos)</w:t>
            </w:r>
          </w:p>
        </w:tc>
      </w:tr>
      <w:tr w:rsidR="005F6BCD" w:rsidRPr="005F6BCD" w14:paraId="59076B2F" w14:textId="77777777" w:rsidTr="005F6BCD">
        <w:trPr>
          <w:trHeight w:val="257"/>
        </w:trPr>
        <w:tc>
          <w:tcPr>
            <w:tcW w:w="1379" w:type="dxa"/>
            <w:tcBorders>
              <w:top w:val="single" w:sz="4" w:space="0" w:color="auto"/>
              <w:left w:val="single" w:sz="4" w:space="0" w:color="auto"/>
              <w:bottom w:val="single" w:sz="4" w:space="0" w:color="auto"/>
              <w:right w:val="single" w:sz="4" w:space="0" w:color="auto"/>
            </w:tcBorders>
            <w:vAlign w:val="center"/>
            <w:hideMark/>
          </w:tcPr>
          <w:p w14:paraId="5C324A31" w14:textId="77777777" w:rsidR="005F6BCD" w:rsidRPr="005F6BCD" w:rsidRDefault="005F6BCD" w:rsidP="005F6BCD">
            <w:pPr>
              <w:spacing w:after="0" w:line="276" w:lineRule="auto"/>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rPr>
              <w:t>Grupo I</w:t>
            </w:r>
          </w:p>
        </w:tc>
        <w:tc>
          <w:tcPr>
            <w:tcW w:w="4444" w:type="dxa"/>
            <w:tcBorders>
              <w:top w:val="single" w:sz="4" w:space="0" w:color="auto"/>
              <w:left w:val="single" w:sz="4" w:space="0" w:color="auto"/>
              <w:bottom w:val="single" w:sz="4" w:space="0" w:color="auto"/>
              <w:right w:val="single" w:sz="4" w:space="0" w:color="auto"/>
            </w:tcBorders>
            <w:vAlign w:val="center"/>
            <w:hideMark/>
          </w:tcPr>
          <w:p w14:paraId="10551897"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 xml:space="preserve"> itens ou questões de resposta curta e restrita.</w:t>
            </w:r>
          </w:p>
        </w:tc>
        <w:tc>
          <w:tcPr>
            <w:tcW w:w="2897" w:type="dxa"/>
            <w:tcBorders>
              <w:top w:val="single" w:sz="4" w:space="0" w:color="auto"/>
              <w:left w:val="single" w:sz="4" w:space="0" w:color="auto"/>
              <w:bottom w:val="single" w:sz="4" w:space="0" w:color="auto"/>
              <w:right w:val="single" w:sz="4" w:space="0" w:color="auto"/>
            </w:tcBorders>
            <w:vAlign w:val="center"/>
          </w:tcPr>
          <w:p w14:paraId="2B9D03B7"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20 (vinte) pontos.</w:t>
            </w:r>
          </w:p>
          <w:p w14:paraId="41A4596C" w14:textId="77777777" w:rsidR="005F6BCD" w:rsidRPr="005F6BCD" w:rsidRDefault="005F6BCD" w:rsidP="005F6BCD">
            <w:pPr>
              <w:spacing w:after="0" w:line="276" w:lineRule="auto"/>
              <w:rPr>
                <w:rFonts w:ascii="Times New Roman" w:eastAsia="Times New Roman" w:hAnsi="Times New Roman" w:cs="Times New Roman"/>
                <w:sz w:val="20"/>
                <w:szCs w:val="20"/>
              </w:rPr>
            </w:pPr>
          </w:p>
        </w:tc>
      </w:tr>
      <w:tr w:rsidR="005F6BCD" w:rsidRPr="005F6BCD" w14:paraId="7415BD38" w14:textId="77777777" w:rsidTr="005F6BCD">
        <w:tc>
          <w:tcPr>
            <w:tcW w:w="1379" w:type="dxa"/>
            <w:tcBorders>
              <w:top w:val="single" w:sz="4" w:space="0" w:color="auto"/>
              <w:left w:val="single" w:sz="4" w:space="0" w:color="auto"/>
              <w:bottom w:val="single" w:sz="4" w:space="0" w:color="auto"/>
              <w:right w:val="single" w:sz="4" w:space="0" w:color="auto"/>
            </w:tcBorders>
            <w:vAlign w:val="center"/>
            <w:hideMark/>
          </w:tcPr>
          <w:p w14:paraId="0CA7D9F2"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Grupo II</w:t>
            </w:r>
          </w:p>
        </w:tc>
        <w:tc>
          <w:tcPr>
            <w:tcW w:w="4444" w:type="dxa"/>
            <w:tcBorders>
              <w:top w:val="single" w:sz="4" w:space="0" w:color="auto"/>
              <w:left w:val="single" w:sz="4" w:space="0" w:color="auto"/>
              <w:bottom w:val="single" w:sz="4" w:space="0" w:color="auto"/>
              <w:right w:val="single" w:sz="4" w:space="0" w:color="auto"/>
            </w:tcBorders>
            <w:vAlign w:val="center"/>
            <w:hideMark/>
          </w:tcPr>
          <w:p w14:paraId="1E60D3A9"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 xml:space="preserve"> itens ou questões de resposta curta e restrita e de resposta extensa e orientada.</w:t>
            </w:r>
          </w:p>
        </w:tc>
        <w:tc>
          <w:tcPr>
            <w:tcW w:w="2897" w:type="dxa"/>
            <w:tcBorders>
              <w:top w:val="single" w:sz="4" w:space="0" w:color="auto"/>
              <w:left w:val="single" w:sz="4" w:space="0" w:color="auto"/>
              <w:bottom w:val="single" w:sz="4" w:space="0" w:color="auto"/>
              <w:right w:val="single" w:sz="4" w:space="0" w:color="auto"/>
            </w:tcBorders>
            <w:vAlign w:val="center"/>
          </w:tcPr>
          <w:p w14:paraId="03A4BD76"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20 (vinte) pontos.</w:t>
            </w:r>
          </w:p>
          <w:p w14:paraId="6204FAC8" w14:textId="77777777" w:rsidR="005F6BCD" w:rsidRPr="005F6BCD" w:rsidRDefault="005F6BCD" w:rsidP="005F6BCD">
            <w:pPr>
              <w:spacing w:after="0" w:line="276" w:lineRule="auto"/>
              <w:rPr>
                <w:rFonts w:ascii="Times New Roman" w:eastAsia="Times New Roman" w:hAnsi="Times New Roman" w:cs="Times New Roman"/>
                <w:sz w:val="20"/>
                <w:szCs w:val="20"/>
              </w:rPr>
            </w:pPr>
          </w:p>
        </w:tc>
      </w:tr>
      <w:tr w:rsidR="005F6BCD" w:rsidRPr="005F6BCD" w14:paraId="5DE45E9D" w14:textId="77777777" w:rsidTr="005F6BCD">
        <w:tc>
          <w:tcPr>
            <w:tcW w:w="1379" w:type="dxa"/>
            <w:tcBorders>
              <w:top w:val="single" w:sz="4" w:space="0" w:color="auto"/>
              <w:left w:val="single" w:sz="4" w:space="0" w:color="auto"/>
              <w:bottom w:val="single" w:sz="4" w:space="0" w:color="auto"/>
              <w:right w:val="single" w:sz="4" w:space="0" w:color="auto"/>
            </w:tcBorders>
            <w:vAlign w:val="center"/>
            <w:hideMark/>
          </w:tcPr>
          <w:p w14:paraId="01090323"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Grupo III</w:t>
            </w:r>
          </w:p>
        </w:tc>
        <w:tc>
          <w:tcPr>
            <w:tcW w:w="4444" w:type="dxa"/>
            <w:tcBorders>
              <w:top w:val="single" w:sz="4" w:space="0" w:color="auto"/>
              <w:left w:val="single" w:sz="4" w:space="0" w:color="auto"/>
              <w:bottom w:val="single" w:sz="4" w:space="0" w:color="auto"/>
              <w:right w:val="single" w:sz="4" w:space="0" w:color="auto"/>
            </w:tcBorders>
            <w:vAlign w:val="center"/>
            <w:hideMark/>
          </w:tcPr>
          <w:p w14:paraId="51C9F782"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 xml:space="preserve"> itens ou questões de resposta curta e restrita e de resposta extensa e orientada.</w:t>
            </w:r>
          </w:p>
        </w:tc>
        <w:tc>
          <w:tcPr>
            <w:tcW w:w="2897" w:type="dxa"/>
            <w:tcBorders>
              <w:top w:val="single" w:sz="4" w:space="0" w:color="auto"/>
              <w:left w:val="single" w:sz="4" w:space="0" w:color="auto"/>
              <w:bottom w:val="single" w:sz="4" w:space="0" w:color="auto"/>
              <w:right w:val="single" w:sz="4" w:space="0" w:color="auto"/>
            </w:tcBorders>
            <w:vAlign w:val="center"/>
            <w:hideMark/>
          </w:tcPr>
          <w:p w14:paraId="4C290CFF"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20 (vinte) pontos.</w:t>
            </w:r>
          </w:p>
        </w:tc>
      </w:tr>
      <w:tr w:rsidR="005F6BCD" w:rsidRPr="005F6BCD" w14:paraId="10A7E397" w14:textId="77777777" w:rsidTr="005F6BCD">
        <w:tc>
          <w:tcPr>
            <w:tcW w:w="1379" w:type="dxa"/>
            <w:tcBorders>
              <w:top w:val="single" w:sz="4" w:space="0" w:color="auto"/>
              <w:left w:val="single" w:sz="4" w:space="0" w:color="auto"/>
              <w:bottom w:val="single" w:sz="4" w:space="0" w:color="auto"/>
              <w:right w:val="single" w:sz="4" w:space="0" w:color="auto"/>
            </w:tcBorders>
            <w:vAlign w:val="center"/>
            <w:hideMark/>
          </w:tcPr>
          <w:p w14:paraId="1D0E8DEB"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Grupo IV</w:t>
            </w:r>
          </w:p>
        </w:tc>
        <w:tc>
          <w:tcPr>
            <w:tcW w:w="4444" w:type="dxa"/>
            <w:tcBorders>
              <w:top w:val="single" w:sz="4" w:space="0" w:color="auto"/>
              <w:left w:val="single" w:sz="4" w:space="0" w:color="auto"/>
              <w:bottom w:val="single" w:sz="4" w:space="0" w:color="auto"/>
              <w:right w:val="single" w:sz="4" w:space="0" w:color="auto"/>
            </w:tcBorders>
            <w:vAlign w:val="center"/>
          </w:tcPr>
          <w:p w14:paraId="526744E4"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 xml:space="preserve"> itens ou questão de resposta extensa e orientada.</w:t>
            </w:r>
          </w:p>
          <w:p w14:paraId="5ECAB478" w14:textId="77777777" w:rsidR="005F6BCD" w:rsidRPr="005F6BCD" w:rsidRDefault="005F6BCD" w:rsidP="005F6BCD">
            <w:pPr>
              <w:spacing w:after="0" w:line="276" w:lineRule="auto"/>
              <w:rPr>
                <w:rFonts w:ascii="Times New Roman" w:eastAsia="Times New Roman" w:hAnsi="Times New Roman" w:cs="Times New Roman"/>
                <w:sz w:val="20"/>
                <w:szCs w:val="20"/>
              </w:rPr>
            </w:pPr>
          </w:p>
        </w:tc>
        <w:tc>
          <w:tcPr>
            <w:tcW w:w="2897" w:type="dxa"/>
            <w:tcBorders>
              <w:top w:val="single" w:sz="4" w:space="0" w:color="auto"/>
              <w:left w:val="single" w:sz="4" w:space="0" w:color="auto"/>
              <w:bottom w:val="single" w:sz="4" w:space="0" w:color="auto"/>
              <w:right w:val="single" w:sz="4" w:space="0" w:color="auto"/>
            </w:tcBorders>
            <w:vAlign w:val="center"/>
          </w:tcPr>
          <w:p w14:paraId="217A510A"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20 (vinte) pontos.</w:t>
            </w:r>
          </w:p>
          <w:p w14:paraId="6C83A042" w14:textId="77777777" w:rsidR="005F6BCD" w:rsidRPr="005F6BCD" w:rsidRDefault="005F6BCD" w:rsidP="005F6BCD">
            <w:pPr>
              <w:spacing w:after="0" w:line="276" w:lineRule="auto"/>
              <w:rPr>
                <w:rFonts w:ascii="Times New Roman" w:eastAsia="Times New Roman" w:hAnsi="Times New Roman" w:cs="Times New Roman"/>
                <w:sz w:val="20"/>
                <w:szCs w:val="20"/>
              </w:rPr>
            </w:pPr>
          </w:p>
        </w:tc>
      </w:tr>
      <w:tr w:rsidR="005F6BCD" w:rsidRPr="005F6BCD" w14:paraId="7F444D9F" w14:textId="77777777" w:rsidTr="005F6BCD">
        <w:tc>
          <w:tcPr>
            <w:tcW w:w="1379" w:type="dxa"/>
            <w:tcBorders>
              <w:top w:val="single" w:sz="4" w:space="0" w:color="auto"/>
              <w:left w:val="single" w:sz="4" w:space="0" w:color="auto"/>
              <w:bottom w:val="single" w:sz="4" w:space="0" w:color="auto"/>
              <w:right w:val="single" w:sz="4" w:space="0" w:color="auto"/>
            </w:tcBorders>
            <w:vAlign w:val="center"/>
            <w:hideMark/>
          </w:tcPr>
          <w:p w14:paraId="13D2C2A4"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Grupo V</w:t>
            </w:r>
          </w:p>
        </w:tc>
        <w:tc>
          <w:tcPr>
            <w:tcW w:w="4444" w:type="dxa"/>
            <w:tcBorders>
              <w:top w:val="single" w:sz="4" w:space="0" w:color="auto"/>
              <w:left w:val="single" w:sz="4" w:space="0" w:color="auto"/>
              <w:bottom w:val="single" w:sz="4" w:space="0" w:color="auto"/>
              <w:right w:val="single" w:sz="4" w:space="0" w:color="auto"/>
            </w:tcBorders>
            <w:vAlign w:val="center"/>
          </w:tcPr>
          <w:p w14:paraId="1781DC8E"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 xml:space="preserve"> itens ou questão de resposta curta e/ou extensa e orientada.</w:t>
            </w:r>
          </w:p>
          <w:p w14:paraId="6BF6F84B" w14:textId="77777777" w:rsidR="005F6BCD" w:rsidRPr="005F6BCD" w:rsidRDefault="005F6BCD" w:rsidP="005F6BCD">
            <w:pPr>
              <w:spacing w:after="0" w:line="276" w:lineRule="auto"/>
              <w:rPr>
                <w:rFonts w:ascii="Times New Roman" w:eastAsia="Times New Roman" w:hAnsi="Times New Roman" w:cs="Times New Roman"/>
                <w:sz w:val="20"/>
                <w:szCs w:val="20"/>
              </w:rPr>
            </w:pPr>
          </w:p>
        </w:tc>
        <w:tc>
          <w:tcPr>
            <w:tcW w:w="2897" w:type="dxa"/>
            <w:tcBorders>
              <w:top w:val="single" w:sz="4" w:space="0" w:color="auto"/>
              <w:left w:val="single" w:sz="4" w:space="0" w:color="auto"/>
              <w:bottom w:val="single" w:sz="4" w:space="0" w:color="auto"/>
              <w:right w:val="single" w:sz="4" w:space="0" w:color="auto"/>
            </w:tcBorders>
            <w:vAlign w:val="center"/>
          </w:tcPr>
          <w:p w14:paraId="7CA044BC"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20 (vinte) pontos.</w:t>
            </w:r>
          </w:p>
          <w:p w14:paraId="2B79EB4A" w14:textId="77777777" w:rsidR="005F6BCD" w:rsidRPr="005F6BCD" w:rsidRDefault="005F6BCD" w:rsidP="005F6BCD">
            <w:pPr>
              <w:spacing w:after="0" w:line="276" w:lineRule="auto"/>
              <w:rPr>
                <w:rFonts w:ascii="Times New Roman" w:eastAsia="Times New Roman" w:hAnsi="Times New Roman" w:cs="Times New Roman"/>
                <w:sz w:val="20"/>
                <w:szCs w:val="20"/>
              </w:rPr>
            </w:pPr>
          </w:p>
        </w:tc>
      </w:tr>
      <w:tr w:rsidR="005F6BCD" w:rsidRPr="005F6BCD" w14:paraId="0C935832" w14:textId="77777777" w:rsidTr="005F6BCD">
        <w:tc>
          <w:tcPr>
            <w:tcW w:w="8720" w:type="dxa"/>
            <w:gridSpan w:val="3"/>
            <w:tcBorders>
              <w:top w:val="single" w:sz="4" w:space="0" w:color="auto"/>
              <w:left w:val="single" w:sz="4" w:space="0" w:color="auto"/>
              <w:bottom w:val="single" w:sz="4" w:space="0" w:color="auto"/>
              <w:right w:val="single" w:sz="4" w:space="0" w:color="auto"/>
            </w:tcBorders>
            <w:vAlign w:val="center"/>
            <w:hideMark/>
          </w:tcPr>
          <w:p w14:paraId="7A62C17F"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 xml:space="preserve">Observações: Grupos </w:t>
            </w:r>
            <w:proofErr w:type="gramStart"/>
            <w:r w:rsidRPr="005F6BCD">
              <w:rPr>
                <w:rFonts w:ascii="Times New Roman" w:eastAsia="Times New Roman" w:hAnsi="Times New Roman" w:cs="Times New Roman"/>
                <w:sz w:val="20"/>
                <w:szCs w:val="20"/>
              </w:rPr>
              <w:t>I,  II</w:t>
            </w:r>
            <w:proofErr w:type="gramEnd"/>
            <w:r w:rsidRPr="005F6BCD">
              <w:rPr>
                <w:rFonts w:ascii="Times New Roman" w:eastAsia="Times New Roman" w:hAnsi="Times New Roman" w:cs="Times New Roman"/>
                <w:sz w:val="20"/>
                <w:szCs w:val="20"/>
              </w:rPr>
              <w:t xml:space="preserve">, III, IV e V: </w:t>
            </w:r>
          </w:p>
          <w:p w14:paraId="39A62557"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 xml:space="preserve"> . 90% da pontuação serão atribuídos aos conteúdos programáticos expressos; </w:t>
            </w:r>
          </w:p>
          <w:p w14:paraId="35F34C5A"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 xml:space="preserve">. 10% da pontuação serão atribuídos à forma como a resposta estiver estruturada; </w:t>
            </w:r>
          </w:p>
          <w:p w14:paraId="51C4F90D"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Nas situações em que o conteúdo é inadequado ou incorreto, a forma não é classificada.</w:t>
            </w:r>
          </w:p>
        </w:tc>
      </w:tr>
    </w:tbl>
    <w:p w14:paraId="0BAB1BEE" w14:textId="77777777" w:rsidR="005F6BCD" w:rsidRPr="005F6BCD" w:rsidRDefault="005F6BCD" w:rsidP="005F6BCD">
      <w:pPr>
        <w:spacing w:after="0" w:line="240" w:lineRule="auto"/>
        <w:ind w:left="-720"/>
        <w:rPr>
          <w:rFonts w:ascii="Times New Roman" w:eastAsia="Times New Roman" w:hAnsi="Times New Roman" w:cs="Times New Roman"/>
          <w:sz w:val="20"/>
          <w:szCs w:val="20"/>
          <w:lang w:eastAsia="pt-PT"/>
        </w:rPr>
      </w:pPr>
    </w:p>
    <w:p w14:paraId="3E5B41EB" w14:textId="77777777" w:rsidR="005F6BCD" w:rsidRPr="005F6BCD" w:rsidRDefault="005F6BCD" w:rsidP="005F6BCD">
      <w:pPr>
        <w:spacing w:after="0" w:line="240" w:lineRule="auto"/>
        <w:ind w:left="-540"/>
        <w:rPr>
          <w:rFonts w:ascii="Times New Roman" w:eastAsia="Times New Roman" w:hAnsi="Times New Roman" w:cs="Times New Roman"/>
          <w:b/>
          <w:bCs/>
          <w:sz w:val="24"/>
          <w:szCs w:val="24"/>
          <w:lang w:eastAsia="pt-PT"/>
        </w:rPr>
      </w:pPr>
      <w:r w:rsidRPr="005F6BCD">
        <w:rPr>
          <w:rFonts w:ascii="Times New Roman" w:eastAsia="Times New Roman" w:hAnsi="Times New Roman" w:cs="Times New Roman"/>
          <w:b/>
          <w:bCs/>
          <w:sz w:val="24"/>
          <w:szCs w:val="24"/>
          <w:lang w:eastAsia="pt-PT"/>
        </w:rPr>
        <w:t>Critérios Gerais de Classificação</w:t>
      </w:r>
    </w:p>
    <w:p w14:paraId="4DFCA0A6" w14:textId="77777777" w:rsidR="005F6BCD" w:rsidRPr="005F6BCD" w:rsidRDefault="005F6BCD" w:rsidP="005F6BCD">
      <w:pPr>
        <w:spacing w:after="0" w:line="240" w:lineRule="auto"/>
        <w:ind w:left="-540"/>
        <w:rPr>
          <w:rFonts w:ascii="Times New Roman" w:eastAsia="Times New Roman" w:hAnsi="Times New Roman" w:cs="Times New Roman"/>
          <w:sz w:val="20"/>
          <w:szCs w:val="20"/>
          <w:lang w:eastAsia="pt-PT"/>
        </w:rPr>
      </w:pPr>
    </w:p>
    <w:p w14:paraId="6FABD6B2" w14:textId="77777777" w:rsidR="005F6BCD" w:rsidRPr="005F6BCD" w:rsidRDefault="005F6BCD" w:rsidP="005F6BCD">
      <w:pPr>
        <w:spacing w:after="0" w:line="240" w:lineRule="auto"/>
        <w:ind w:left="-540"/>
        <w:rPr>
          <w:rFonts w:ascii="Times New Roman" w:eastAsia="Times New Roman" w:hAnsi="Times New Roman" w:cs="Times New Roman"/>
          <w:b/>
          <w:bCs/>
          <w:i/>
          <w:iCs/>
          <w:spacing w:val="5"/>
          <w:sz w:val="20"/>
          <w:szCs w:val="20"/>
          <w:lang w:eastAsia="pt-PT"/>
        </w:rPr>
      </w:pPr>
      <w:r w:rsidRPr="005F6BCD">
        <w:rPr>
          <w:rFonts w:ascii="Times New Roman" w:eastAsia="Times New Roman" w:hAnsi="Times New Roman" w:cs="Times New Roman"/>
          <w:b/>
          <w:bCs/>
          <w:i/>
          <w:iCs/>
          <w:spacing w:val="5"/>
          <w:sz w:val="20"/>
          <w:szCs w:val="20"/>
          <w:lang w:eastAsia="pt-PT"/>
        </w:rPr>
        <w:t>Resposta curta e resposta restrita:</w:t>
      </w:r>
    </w:p>
    <w:p w14:paraId="2E585510" w14:textId="77777777" w:rsidR="005F6BCD" w:rsidRPr="005F6BCD" w:rsidRDefault="005F6BCD" w:rsidP="005F6BCD">
      <w:pPr>
        <w:spacing w:after="0" w:line="240" w:lineRule="auto"/>
        <w:ind w:left="-54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Nos itens de resposta curta e de resposta restrita, caso a resposta contenha elementos que excedam o solicitado, só são considerados para efeito de classificação os elementos que satisfaçam o que é pedido, segundo a ordem pela qual são apresentados na resposta, mesmo que os elementos em excesso contenham elementos corretos. Porém, se os elementos referidos revelarem uma contradição entre si, a classificação a atribuir é zero pontos.</w:t>
      </w:r>
    </w:p>
    <w:p w14:paraId="0DC41DF5" w14:textId="77777777" w:rsidR="005F6BCD" w:rsidRPr="005F6BCD" w:rsidRDefault="005F6BCD" w:rsidP="005F6BCD">
      <w:pPr>
        <w:spacing w:after="0" w:line="240" w:lineRule="auto"/>
        <w:ind w:left="-540"/>
        <w:rPr>
          <w:rFonts w:ascii="Times New Roman" w:eastAsia="Times New Roman" w:hAnsi="Times New Roman" w:cs="Times New Roman"/>
          <w:sz w:val="20"/>
          <w:szCs w:val="20"/>
          <w:lang w:eastAsia="pt-PT"/>
        </w:rPr>
      </w:pPr>
    </w:p>
    <w:p w14:paraId="37BDFCFF" w14:textId="77777777" w:rsidR="005F6BCD" w:rsidRPr="005F6BCD" w:rsidRDefault="005F6BCD" w:rsidP="005F6BCD">
      <w:pPr>
        <w:spacing w:after="0" w:line="240" w:lineRule="auto"/>
        <w:ind w:left="-540"/>
        <w:rPr>
          <w:rFonts w:ascii="Times New Roman" w:eastAsia="Times New Roman" w:hAnsi="Times New Roman" w:cs="Times New Roman"/>
          <w:b/>
          <w:bCs/>
          <w:i/>
          <w:iCs/>
          <w:spacing w:val="5"/>
          <w:sz w:val="20"/>
          <w:szCs w:val="20"/>
          <w:lang w:eastAsia="pt-PT"/>
        </w:rPr>
      </w:pPr>
      <w:r w:rsidRPr="005F6BCD">
        <w:rPr>
          <w:rFonts w:ascii="Times New Roman" w:eastAsia="Times New Roman" w:hAnsi="Times New Roman" w:cs="Times New Roman"/>
          <w:b/>
          <w:bCs/>
          <w:i/>
          <w:iCs/>
          <w:spacing w:val="5"/>
          <w:sz w:val="20"/>
          <w:szCs w:val="20"/>
          <w:lang w:eastAsia="pt-PT"/>
        </w:rPr>
        <w:t>Resposta extensa:</w:t>
      </w:r>
    </w:p>
    <w:p w14:paraId="0E9F96EF" w14:textId="77777777" w:rsidR="005F6BCD" w:rsidRPr="005F6BCD" w:rsidRDefault="005F6BCD" w:rsidP="005F6BCD">
      <w:pPr>
        <w:spacing w:after="0" w:line="240" w:lineRule="auto"/>
        <w:ind w:left="-54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xml:space="preserve">. Nos itens de resposta extensa que impliquem a produção de um texto, a classificação a atribuir traduz a avaliação simultânea das competências específicas da disciplina e das competências de comunicação escrita em </w:t>
      </w:r>
      <w:r w:rsidRPr="005F6BCD">
        <w:rPr>
          <w:rFonts w:ascii="Times New Roman" w:eastAsia="Times New Roman" w:hAnsi="Times New Roman" w:cs="Times New Roman"/>
          <w:sz w:val="20"/>
          <w:szCs w:val="20"/>
          <w:lang w:eastAsia="pt-PT"/>
        </w:rPr>
        <w:lastRenderedPageBreak/>
        <w:t xml:space="preserve">língua portuguesa. A avaliação das competências de comunicação escrita em língua portuguesa contribui para valorizar a classificação atribuída ao desempenho no domínio das competências específicas da disciplina. Esta valorização é cerca de 10% da cotação do item e faz-se de acordo com os níveis de desempenho descritos: </w:t>
      </w:r>
    </w:p>
    <w:p w14:paraId="1B6E0F91" w14:textId="77777777" w:rsidR="005F6BCD" w:rsidRPr="005F6BCD" w:rsidRDefault="005F6BCD" w:rsidP="005F6BCD">
      <w:pPr>
        <w:spacing w:after="0" w:line="240" w:lineRule="auto"/>
        <w:rPr>
          <w:rFonts w:ascii="Times New Roman" w:eastAsia="Times New Roman" w:hAnsi="Times New Roman" w:cs="Times New Roman"/>
          <w:sz w:val="20"/>
          <w:szCs w:val="20"/>
          <w:lang w:eastAsia="pt-PT"/>
        </w:rPr>
      </w:pPr>
    </w:p>
    <w:tbl>
      <w:tblPr>
        <w:tblpPr w:leftFromText="141" w:rightFromText="141" w:bottomFromText="200" w:vertAnchor="text" w:horzAnchor="margin" w:tblpX="-252" w:tblpY="-22"/>
        <w:tblW w:w="9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8471"/>
      </w:tblGrid>
      <w:tr w:rsidR="005F6BCD" w:rsidRPr="005F6BCD" w14:paraId="1A59E2FF" w14:textId="77777777" w:rsidTr="005F6BCD">
        <w:trPr>
          <w:trHeight w:val="153"/>
        </w:trPr>
        <w:tc>
          <w:tcPr>
            <w:tcW w:w="1062" w:type="dxa"/>
            <w:tcBorders>
              <w:top w:val="single" w:sz="4" w:space="0" w:color="auto"/>
              <w:left w:val="single" w:sz="4" w:space="0" w:color="auto"/>
              <w:bottom w:val="single" w:sz="4" w:space="0" w:color="auto"/>
              <w:right w:val="single" w:sz="4" w:space="0" w:color="auto"/>
            </w:tcBorders>
            <w:hideMark/>
          </w:tcPr>
          <w:p w14:paraId="6857DEC0" w14:textId="77777777" w:rsidR="005F6BCD" w:rsidRPr="005F6BCD" w:rsidRDefault="005F6BCD" w:rsidP="005F6BCD">
            <w:pPr>
              <w:spacing w:after="0" w:line="276" w:lineRule="auto"/>
              <w:rPr>
                <w:rFonts w:ascii="Times New Roman" w:eastAsia="Times New Roman" w:hAnsi="Times New Roman" w:cs="Times New Roman"/>
                <w:b/>
                <w:bCs/>
                <w:i/>
                <w:iCs/>
                <w:spacing w:val="5"/>
                <w:sz w:val="20"/>
                <w:szCs w:val="20"/>
              </w:rPr>
            </w:pPr>
            <w:r w:rsidRPr="005F6BCD">
              <w:rPr>
                <w:rFonts w:ascii="Times New Roman" w:eastAsia="Times New Roman" w:hAnsi="Times New Roman" w:cs="Times New Roman"/>
                <w:b/>
                <w:bCs/>
                <w:i/>
                <w:iCs/>
                <w:spacing w:val="5"/>
                <w:sz w:val="20"/>
                <w:szCs w:val="20"/>
              </w:rPr>
              <w:t>Níveis</w:t>
            </w:r>
          </w:p>
        </w:tc>
        <w:tc>
          <w:tcPr>
            <w:tcW w:w="8471" w:type="dxa"/>
            <w:tcBorders>
              <w:top w:val="single" w:sz="4" w:space="0" w:color="auto"/>
              <w:left w:val="single" w:sz="4" w:space="0" w:color="auto"/>
              <w:bottom w:val="single" w:sz="4" w:space="0" w:color="auto"/>
              <w:right w:val="single" w:sz="4" w:space="0" w:color="auto"/>
            </w:tcBorders>
            <w:hideMark/>
          </w:tcPr>
          <w:p w14:paraId="0E096AFB" w14:textId="77777777" w:rsidR="005F6BCD" w:rsidRPr="005F6BCD" w:rsidRDefault="005F6BCD" w:rsidP="005F6BCD">
            <w:pPr>
              <w:spacing w:after="0" w:line="276" w:lineRule="auto"/>
              <w:rPr>
                <w:rFonts w:ascii="Times New Roman" w:eastAsia="Times New Roman" w:hAnsi="Times New Roman" w:cs="Times New Roman"/>
                <w:b/>
                <w:bCs/>
                <w:i/>
                <w:iCs/>
                <w:spacing w:val="5"/>
                <w:sz w:val="20"/>
                <w:szCs w:val="20"/>
              </w:rPr>
            </w:pPr>
            <w:r w:rsidRPr="005F6BCD">
              <w:rPr>
                <w:rFonts w:ascii="Times New Roman" w:eastAsia="Times New Roman" w:hAnsi="Times New Roman" w:cs="Times New Roman"/>
                <w:b/>
                <w:bCs/>
                <w:i/>
                <w:iCs/>
                <w:spacing w:val="5"/>
                <w:sz w:val="20"/>
                <w:szCs w:val="20"/>
              </w:rPr>
              <w:t>Descritores</w:t>
            </w:r>
          </w:p>
        </w:tc>
      </w:tr>
      <w:tr w:rsidR="005F6BCD" w:rsidRPr="005F6BCD" w14:paraId="782B1110" w14:textId="77777777" w:rsidTr="005F6BCD">
        <w:trPr>
          <w:trHeight w:val="522"/>
        </w:trPr>
        <w:tc>
          <w:tcPr>
            <w:tcW w:w="1062" w:type="dxa"/>
            <w:tcBorders>
              <w:top w:val="single" w:sz="4" w:space="0" w:color="auto"/>
              <w:left w:val="single" w:sz="4" w:space="0" w:color="auto"/>
              <w:bottom w:val="single" w:sz="4" w:space="0" w:color="auto"/>
              <w:right w:val="single" w:sz="4" w:space="0" w:color="auto"/>
            </w:tcBorders>
            <w:vAlign w:val="center"/>
            <w:hideMark/>
          </w:tcPr>
          <w:p w14:paraId="056612E1" w14:textId="77777777" w:rsidR="005F6BCD" w:rsidRPr="005F6BCD" w:rsidRDefault="005F6BCD" w:rsidP="005F6BCD">
            <w:pPr>
              <w:spacing w:after="0" w:line="276" w:lineRule="auto"/>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rPr>
              <w:t>1</w:t>
            </w:r>
          </w:p>
        </w:tc>
        <w:tc>
          <w:tcPr>
            <w:tcW w:w="8471" w:type="dxa"/>
            <w:tcBorders>
              <w:top w:val="single" w:sz="4" w:space="0" w:color="auto"/>
              <w:left w:val="single" w:sz="4" w:space="0" w:color="auto"/>
              <w:bottom w:val="single" w:sz="4" w:space="0" w:color="auto"/>
              <w:right w:val="single" w:sz="4" w:space="0" w:color="auto"/>
            </w:tcBorders>
          </w:tcPr>
          <w:p w14:paraId="37EEE4BB"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Composição bem estruturada, sem erros de sintaxe, de pontuação e/ou de ortografia, ou com</w:t>
            </w:r>
          </w:p>
          <w:p w14:paraId="62C9AD1A"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erros esporádicos, cuja gravidade não implique perda de inteligibilidade e/ou de sentido.</w:t>
            </w:r>
          </w:p>
          <w:p w14:paraId="6E02B01C" w14:textId="77777777" w:rsidR="005F6BCD" w:rsidRPr="005F6BCD" w:rsidRDefault="005F6BCD" w:rsidP="005F6BCD">
            <w:pPr>
              <w:spacing w:after="0" w:line="276" w:lineRule="auto"/>
              <w:rPr>
                <w:rFonts w:ascii="Times New Roman" w:eastAsia="Times New Roman" w:hAnsi="Times New Roman" w:cs="Times New Roman"/>
                <w:sz w:val="20"/>
                <w:szCs w:val="20"/>
              </w:rPr>
            </w:pPr>
          </w:p>
        </w:tc>
      </w:tr>
      <w:tr w:rsidR="005F6BCD" w:rsidRPr="005F6BCD" w14:paraId="36CF38B2" w14:textId="77777777" w:rsidTr="005F6BCD">
        <w:trPr>
          <w:trHeight w:val="522"/>
        </w:trPr>
        <w:tc>
          <w:tcPr>
            <w:tcW w:w="1062" w:type="dxa"/>
            <w:tcBorders>
              <w:top w:val="single" w:sz="4" w:space="0" w:color="auto"/>
              <w:left w:val="single" w:sz="4" w:space="0" w:color="auto"/>
              <w:bottom w:val="single" w:sz="4" w:space="0" w:color="auto"/>
              <w:right w:val="single" w:sz="4" w:space="0" w:color="auto"/>
            </w:tcBorders>
            <w:vAlign w:val="center"/>
            <w:hideMark/>
          </w:tcPr>
          <w:p w14:paraId="273A8C6C"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2</w:t>
            </w:r>
          </w:p>
        </w:tc>
        <w:tc>
          <w:tcPr>
            <w:tcW w:w="8471" w:type="dxa"/>
            <w:tcBorders>
              <w:top w:val="single" w:sz="4" w:space="0" w:color="auto"/>
              <w:left w:val="single" w:sz="4" w:space="0" w:color="auto"/>
              <w:bottom w:val="single" w:sz="4" w:space="0" w:color="auto"/>
              <w:right w:val="single" w:sz="4" w:space="0" w:color="auto"/>
            </w:tcBorders>
          </w:tcPr>
          <w:p w14:paraId="0C29DD96"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Composição razoavelmente estruturada, com alguns erros de sintaxe, de pontuação e/ou de</w:t>
            </w:r>
          </w:p>
          <w:p w14:paraId="3D266882"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ortografia, cuja gravidade não implique perda de inteligibilidade e/ou de sentido.</w:t>
            </w:r>
          </w:p>
          <w:p w14:paraId="058412BB" w14:textId="77777777" w:rsidR="005F6BCD" w:rsidRPr="005F6BCD" w:rsidRDefault="005F6BCD" w:rsidP="005F6BCD">
            <w:pPr>
              <w:spacing w:after="0" w:line="276" w:lineRule="auto"/>
              <w:rPr>
                <w:rFonts w:ascii="Times New Roman" w:eastAsia="Times New Roman" w:hAnsi="Times New Roman" w:cs="Times New Roman"/>
                <w:sz w:val="20"/>
                <w:szCs w:val="20"/>
              </w:rPr>
            </w:pPr>
          </w:p>
        </w:tc>
      </w:tr>
      <w:tr w:rsidR="005F6BCD" w:rsidRPr="005F6BCD" w14:paraId="097148A8" w14:textId="77777777" w:rsidTr="005F6BCD">
        <w:trPr>
          <w:trHeight w:val="344"/>
        </w:trPr>
        <w:tc>
          <w:tcPr>
            <w:tcW w:w="1062" w:type="dxa"/>
            <w:tcBorders>
              <w:top w:val="single" w:sz="4" w:space="0" w:color="auto"/>
              <w:left w:val="single" w:sz="4" w:space="0" w:color="auto"/>
              <w:bottom w:val="single" w:sz="4" w:space="0" w:color="auto"/>
              <w:right w:val="single" w:sz="4" w:space="0" w:color="auto"/>
            </w:tcBorders>
            <w:vAlign w:val="center"/>
            <w:hideMark/>
          </w:tcPr>
          <w:p w14:paraId="46BED74F"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3</w:t>
            </w:r>
          </w:p>
        </w:tc>
        <w:tc>
          <w:tcPr>
            <w:tcW w:w="8471" w:type="dxa"/>
            <w:tcBorders>
              <w:top w:val="single" w:sz="4" w:space="0" w:color="auto"/>
              <w:left w:val="single" w:sz="4" w:space="0" w:color="auto"/>
              <w:bottom w:val="single" w:sz="4" w:space="0" w:color="auto"/>
              <w:right w:val="single" w:sz="4" w:space="0" w:color="auto"/>
            </w:tcBorders>
            <w:hideMark/>
          </w:tcPr>
          <w:p w14:paraId="2256D8F4"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Composição sem estruturação aparente, com erros graves de sintaxe, de pontuação e/ou de</w:t>
            </w:r>
          </w:p>
          <w:p w14:paraId="78CDC7A7"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sz w:val="20"/>
                <w:szCs w:val="20"/>
              </w:rPr>
              <w:t xml:space="preserve">ortografia, cuja gravidade implique perda frequente de inteligibilidade e/ou de sentido. </w:t>
            </w:r>
          </w:p>
        </w:tc>
      </w:tr>
      <w:tr w:rsidR="005F6BCD" w:rsidRPr="005F6BCD" w14:paraId="667C8403" w14:textId="77777777" w:rsidTr="005F6BCD">
        <w:trPr>
          <w:trHeight w:val="522"/>
        </w:trPr>
        <w:tc>
          <w:tcPr>
            <w:tcW w:w="9533" w:type="dxa"/>
            <w:gridSpan w:val="2"/>
            <w:tcBorders>
              <w:top w:val="single" w:sz="4" w:space="0" w:color="auto"/>
              <w:left w:val="single" w:sz="4" w:space="0" w:color="auto"/>
              <w:bottom w:val="single" w:sz="4" w:space="0" w:color="auto"/>
              <w:right w:val="single" w:sz="4" w:space="0" w:color="auto"/>
            </w:tcBorders>
            <w:vAlign w:val="center"/>
          </w:tcPr>
          <w:p w14:paraId="59FD1997" w14:textId="77777777" w:rsidR="005F6BCD" w:rsidRPr="005F6BCD" w:rsidRDefault="005F6BCD" w:rsidP="005F6BCD">
            <w:pPr>
              <w:spacing w:after="0" w:line="276" w:lineRule="auto"/>
              <w:rPr>
                <w:rFonts w:ascii="Times New Roman" w:eastAsia="Times New Roman" w:hAnsi="Times New Roman" w:cs="Times New Roman"/>
                <w:sz w:val="20"/>
                <w:szCs w:val="20"/>
              </w:rPr>
            </w:pPr>
            <w:r w:rsidRPr="005F6BCD">
              <w:rPr>
                <w:rFonts w:ascii="Times New Roman" w:eastAsia="Times New Roman" w:hAnsi="Times New Roman" w:cs="Times New Roman"/>
                <w:b/>
                <w:bCs/>
                <w:sz w:val="20"/>
                <w:szCs w:val="20"/>
              </w:rPr>
              <w:t>Observação:</w:t>
            </w:r>
            <w:r w:rsidRPr="005F6BCD">
              <w:rPr>
                <w:rFonts w:ascii="Times New Roman" w:eastAsia="Times New Roman" w:hAnsi="Times New Roman" w:cs="Times New Roman"/>
                <w:sz w:val="20"/>
                <w:szCs w:val="20"/>
              </w:rPr>
              <w:t xml:space="preserve"> No caso de a resposta não atingir o nível 1 de desempenho no domínio específico da disciplina, não é classificado o domínio da comunicação escrita em língua portuguesa.</w:t>
            </w:r>
          </w:p>
          <w:p w14:paraId="5DCB9769" w14:textId="77777777" w:rsidR="005F6BCD" w:rsidRPr="005F6BCD" w:rsidRDefault="005F6BCD" w:rsidP="005F6BCD">
            <w:pPr>
              <w:spacing w:after="0" w:line="276" w:lineRule="auto"/>
              <w:rPr>
                <w:rFonts w:ascii="Times New Roman" w:eastAsia="Times New Roman" w:hAnsi="Times New Roman" w:cs="Times New Roman"/>
                <w:sz w:val="20"/>
                <w:szCs w:val="20"/>
              </w:rPr>
            </w:pPr>
          </w:p>
        </w:tc>
      </w:tr>
    </w:tbl>
    <w:p w14:paraId="51E1645F" w14:textId="77777777" w:rsidR="005F6BCD" w:rsidRPr="005F6BCD" w:rsidRDefault="005F6BCD" w:rsidP="005F6BCD">
      <w:pPr>
        <w:spacing w:after="0" w:line="240" w:lineRule="auto"/>
        <w:ind w:left="-360"/>
        <w:rPr>
          <w:rFonts w:ascii="Times New Roman" w:eastAsia="Times New Roman" w:hAnsi="Times New Roman" w:cs="Times New Roman"/>
          <w:sz w:val="20"/>
          <w:szCs w:val="20"/>
          <w:lang w:eastAsia="pt-PT"/>
        </w:rPr>
      </w:pPr>
    </w:p>
    <w:p w14:paraId="4ED45EF6" w14:textId="77777777" w:rsidR="005F6BCD" w:rsidRPr="005F6BCD" w:rsidRDefault="005F6BCD" w:rsidP="005F6BCD">
      <w:pPr>
        <w:spacing w:after="0" w:line="240" w:lineRule="auto"/>
        <w:ind w:left="-36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Em todas as respostas é atribuída a cotação máxima, quando se verificar na elaboração das respostas: a valorização dos aspetos essenciais em detrimento dos acessórios; a utilização de um vocabulário específico da disciplina; uma organização clara e coerente das respostas.</w:t>
      </w:r>
    </w:p>
    <w:p w14:paraId="444BE406" w14:textId="77777777" w:rsidR="005F6BCD" w:rsidRPr="005F6BCD" w:rsidRDefault="005F6BCD" w:rsidP="005F6BCD">
      <w:pPr>
        <w:spacing w:after="0" w:line="240" w:lineRule="auto"/>
        <w:ind w:left="-36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Não serão pontuadas as respostas que forem ilegíveis, a(s) resposta(s) onde tenha sido utilizada tinta corretora ou que contenham afirmações contraditórias.</w:t>
      </w:r>
    </w:p>
    <w:p w14:paraId="2E77A029" w14:textId="77777777" w:rsidR="005F6BCD" w:rsidRPr="005F6BCD" w:rsidRDefault="005F6BCD" w:rsidP="005F6BCD">
      <w:pPr>
        <w:spacing w:after="0" w:line="240" w:lineRule="auto"/>
        <w:ind w:left="-36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xml:space="preserve"> . As respostas ilegíveis ou que não possam ser claramente identificadas são classificadas com zero pontos. No entanto, em caso de omissão ou de engano na identificação de uma resposta, esta pode ser classificada se for possível identificar inequivocamente o item a que diz respeito.</w:t>
      </w:r>
    </w:p>
    <w:p w14:paraId="3E48008A" w14:textId="77777777" w:rsidR="005F6BCD" w:rsidRPr="005F6BCD" w:rsidRDefault="005F6BCD" w:rsidP="005F6BCD">
      <w:pPr>
        <w:spacing w:after="120" w:line="240" w:lineRule="auto"/>
        <w:ind w:left="-36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xml:space="preserve">. Se o examinando responder a um mesmo item mais do que uma vez, não eliminando inequivocamente a(s) resposta(s) que não deseja que seja(m) classificada(s), deve ser considerada apenas a resposta que surgir em primeiro lugar </w:t>
      </w:r>
    </w:p>
    <w:p w14:paraId="596A73B5" w14:textId="4D312C4B" w:rsidR="005F6BCD" w:rsidRPr="005F6BCD" w:rsidRDefault="005F6BCD" w:rsidP="005F6BCD">
      <w:pPr>
        <w:spacing w:after="0" w:line="240" w:lineRule="auto"/>
        <w:ind w:left="-36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xml:space="preserve"> </w:t>
      </w:r>
    </w:p>
    <w:p w14:paraId="63E5C04B" w14:textId="77777777" w:rsidR="005F6BCD" w:rsidRPr="005F6BCD" w:rsidRDefault="005F6BCD" w:rsidP="005F6BCD">
      <w:pPr>
        <w:spacing w:after="0" w:line="360" w:lineRule="auto"/>
        <w:ind w:left="-360"/>
        <w:jc w:val="both"/>
        <w:rPr>
          <w:rFonts w:ascii="Times New Roman" w:eastAsia="Times New Roman" w:hAnsi="Times New Roman" w:cs="Times New Roman"/>
          <w:b/>
          <w:sz w:val="24"/>
          <w:szCs w:val="24"/>
          <w:lang w:eastAsia="pt-PT"/>
        </w:rPr>
      </w:pPr>
      <w:r w:rsidRPr="005F6BCD">
        <w:rPr>
          <w:rFonts w:ascii="Times New Roman" w:eastAsia="Times New Roman" w:hAnsi="Times New Roman" w:cs="Times New Roman"/>
          <w:b/>
          <w:sz w:val="24"/>
          <w:szCs w:val="24"/>
          <w:lang w:eastAsia="pt-PT"/>
        </w:rPr>
        <w:t>Duração:</w:t>
      </w:r>
    </w:p>
    <w:p w14:paraId="000ED96A" w14:textId="77777777" w:rsidR="005F6BCD" w:rsidRPr="005F6BCD" w:rsidRDefault="005F6BCD" w:rsidP="005F6BCD">
      <w:pPr>
        <w:spacing w:after="0" w:line="240" w:lineRule="auto"/>
        <w:ind w:left="-36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xml:space="preserve">A prova tem a duração de 90 minutos. </w:t>
      </w:r>
    </w:p>
    <w:p w14:paraId="54B754A7" w14:textId="77777777" w:rsidR="005F6BCD" w:rsidRPr="005F6BCD" w:rsidRDefault="005F6BCD" w:rsidP="005F6BCD">
      <w:pPr>
        <w:spacing w:after="0" w:line="240" w:lineRule="auto"/>
        <w:ind w:left="-360"/>
        <w:rPr>
          <w:rFonts w:ascii="Times New Roman" w:eastAsia="Times New Roman" w:hAnsi="Times New Roman" w:cs="Times New Roman"/>
          <w:sz w:val="20"/>
          <w:szCs w:val="20"/>
          <w:lang w:eastAsia="pt-PT"/>
        </w:rPr>
      </w:pPr>
    </w:p>
    <w:p w14:paraId="18377DC3" w14:textId="77777777" w:rsidR="005F6BCD" w:rsidRPr="005F6BCD" w:rsidRDefault="005F6BCD" w:rsidP="005F6BCD">
      <w:pPr>
        <w:spacing w:after="0" w:line="360" w:lineRule="auto"/>
        <w:ind w:left="-360"/>
        <w:jc w:val="both"/>
        <w:rPr>
          <w:rFonts w:ascii="Times New Roman" w:eastAsia="Times New Roman" w:hAnsi="Times New Roman" w:cs="Times New Roman"/>
          <w:b/>
          <w:sz w:val="24"/>
          <w:szCs w:val="24"/>
          <w:lang w:eastAsia="pt-PT"/>
        </w:rPr>
      </w:pPr>
      <w:r w:rsidRPr="005F6BCD">
        <w:rPr>
          <w:rFonts w:ascii="Times New Roman" w:eastAsia="Times New Roman" w:hAnsi="Times New Roman" w:cs="Times New Roman"/>
          <w:b/>
          <w:sz w:val="24"/>
          <w:szCs w:val="24"/>
          <w:lang w:eastAsia="pt-PT"/>
        </w:rPr>
        <w:t>Material que pode ser usado na prova</w:t>
      </w:r>
    </w:p>
    <w:p w14:paraId="23E062F4" w14:textId="77777777" w:rsidR="005F6BCD" w:rsidRPr="005F6BCD" w:rsidRDefault="005F6BCD" w:rsidP="005F6BCD">
      <w:pPr>
        <w:spacing w:after="0" w:line="240" w:lineRule="auto"/>
        <w:ind w:left="-360"/>
        <w:rPr>
          <w:rFonts w:ascii="Times New Roman" w:eastAsia="Times New Roman" w:hAnsi="Times New Roman" w:cs="Times New Roman"/>
          <w:sz w:val="20"/>
          <w:szCs w:val="20"/>
          <w:lang w:eastAsia="pt-PT"/>
        </w:rPr>
      </w:pPr>
      <w:r w:rsidRPr="005F6BCD">
        <w:rPr>
          <w:rFonts w:ascii="Times New Roman" w:eastAsia="Times New Roman" w:hAnsi="Times New Roman" w:cs="Times New Roman"/>
          <w:sz w:val="20"/>
          <w:szCs w:val="20"/>
          <w:lang w:eastAsia="pt-PT"/>
        </w:rPr>
        <w:t xml:space="preserve">  O examinando apenas pode usar, como material de escrita, caneta ou esferográfica de tinta indelével, azul ou preta. Pode utilizar uma régua e calculadora simples, não alfanumérica. As respostas são registadas em folha própria, fornecida pelo estabelecimento de ensino. Não é permitido o uso de corretor. </w:t>
      </w:r>
    </w:p>
    <w:p w14:paraId="287036D2" w14:textId="27449399" w:rsidR="3DFE25E9" w:rsidRDefault="3DFE25E9" w:rsidP="3DFE25E9">
      <w:pPr>
        <w:spacing w:after="0" w:line="240" w:lineRule="auto"/>
        <w:jc w:val="both"/>
        <w:rPr>
          <w:rFonts w:ascii="Arial" w:eastAsia="Arial" w:hAnsi="Arial" w:cs="Arial"/>
          <w:b/>
          <w:bCs/>
          <w:color w:val="000000" w:themeColor="text1"/>
          <w:sz w:val="24"/>
          <w:szCs w:val="24"/>
        </w:rPr>
      </w:pPr>
    </w:p>
    <w:p w14:paraId="51B60DBD" w14:textId="218FDFDB" w:rsidR="5E66E6E0" w:rsidRDefault="5E66E6E0" w:rsidP="3DFE25E9">
      <w:pPr>
        <w:spacing w:after="0" w:line="360" w:lineRule="auto"/>
        <w:jc w:val="both"/>
        <w:rPr>
          <w:rFonts w:ascii="Arial" w:hAnsi="Arial" w:cs="Arial"/>
          <w:sz w:val="24"/>
          <w:szCs w:val="24"/>
        </w:rPr>
      </w:pPr>
      <w:r w:rsidRPr="3DFE25E9">
        <w:rPr>
          <w:rFonts w:ascii="Arial" w:eastAsia="Arial" w:hAnsi="Arial" w:cs="Arial"/>
          <w:b/>
          <w:bCs/>
          <w:color w:val="000000" w:themeColor="text1"/>
          <w:sz w:val="24"/>
          <w:szCs w:val="24"/>
        </w:rPr>
        <w:t xml:space="preserve"> </w:t>
      </w:r>
    </w:p>
    <w:p w14:paraId="614C2F8F" w14:textId="77777777" w:rsidR="00B2409F" w:rsidRDefault="00B2409F" w:rsidP="00750290">
      <w:pPr>
        <w:autoSpaceDE w:val="0"/>
        <w:autoSpaceDN w:val="0"/>
        <w:adjustRightInd w:val="0"/>
        <w:spacing w:after="0" w:line="360" w:lineRule="auto"/>
        <w:jc w:val="both"/>
        <w:rPr>
          <w:rFonts w:ascii="Arial" w:hAnsi="Arial" w:cs="Arial"/>
          <w:sz w:val="24"/>
          <w:szCs w:val="24"/>
        </w:rPr>
      </w:pPr>
    </w:p>
    <w:p w14:paraId="4458EA46" w14:textId="77777777" w:rsidR="00B2409F" w:rsidRDefault="00B2409F" w:rsidP="00750290">
      <w:pPr>
        <w:autoSpaceDE w:val="0"/>
        <w:autoSpaceDN w:val="0"/>
        <w:adjustRightInd w:val="0"/>
        <w:spacing w:after="0" w:line="360" w:lineRule="auto"/>
        <w:jc w:val="both"/>
        <w:rPr>
          <w:rFonts w:ascii="Arial" w:hAnsi="Arial" w:cs="Arial"/>
          <w:sz w:val="24"/>
          <w:szCs w:val="24"/>
        </w:rPr>
      </w:pPr>
    </w:p>
    <w:p w14:paraId="507A61CE" w14:textId="77777777" w:rsidR="00B2409F" w:rsidRDefault="00B2409F" w:rsidP="00750290">
      <w:pPr>
        <w:autoSpaceDE w:val="0"/>
        <w:autoSpaceDN w:val="0"/>
        <w:adjustRightInd w:val="0"/>
        <w:spacing w:after="0" w:line="360" w:lineRule="auto"/>
        <w:jc w:val="both"/>
        <w:rPr>
          <w:rFonts w:ascii="Arial" w:hAnsi="Arial" w:cs="Arial"/>
          <w:sz w:val="24"/>
          <w:szCs w:val="24"/>
        </w:rPr>
      </w:pPr>
    </w:p>
    <w:p w14:paraId="5ECF8DBE" w14:textId="77777777" w:rsidR="00B2409F" w:rsidRDefault="00B2409F" w:rsidP="00750290">
      <w:pPr>
        <w:autoSpaceDE w:val="0"/>
        <w:autoSpaceDN w:val="0"/>
        <w:adjustRightInd w:val="0"/>
        <w:spacing w:after="0" w:line="360" w:lineRule="auto"/>
        <w:jc w:val="both"/>
        <w:rPr>
          <w:rFonts w:ascii="Arial" w:hAnsi="Arial" w:cs="Arial"/>
          <w:sz w:val="24"/>
          <w:szCs w:val="24"/>
        </w:rPr>
      </w:pPr>
    </w:p>
    <w:p w14:paraId="7F0BD0AD" w14:textId="77777777" w:rsidR="00B2409F" w:rsidRDefault="00B2409F" w:rsidP="00750290">
      <w:pPr>
        <w:autoSpaceDE w:val="0"/>
        <w:autoSpaceDN w:val="0"/>
        <w:adjustRightInd w:val="0"/>
        <w:spacing w:after="0" w:line="360" w:lineRule="auto"/>
        <w:jc w:val="both"/>
        <w:rPr>
          <w:rFonts w:ascii="Arial" w:hAnsi="Arial" w:cs="Arial"/>
          <w:sz w:val="24"/>
          <w:szCs w:val="24"/>
        </w:rPr>
      </w:pPr>
    </w:p>
    <w:p w14:paraId="3CAA4396" w14:textId="77777777" w:rsidR="009D1392" w:rsidRDefault="009D1392" w:rsidP="00750290">
      <w:pPr>
        <w:autoSpaceDE w:val="0"/>
        <w:autoSpaceDN w:val="0"/>
        <w:adjustRightInd w:val="0"/>
        <w:spacing w:after="0" w:line="360" w:lineRule="auto"/>
        <w:jc w:val="both"/>
        <w:rPr>
          <w:rFonts w:ascii="Arial" w:hAnsi="Arial" w:cs="Arial"/>
          <w:sz w:val="24"/>
          <w:szCs w:val="24"/>
        </w:rPr>
      </w:pPr>
    </w:p>
    <w:p w14:paraId="06F45469" w14:textId="77777777" w:rsidR="009D1392" w:rsidRDefault="009D1392" w:rsidP="00750290">
      <w:pPr>
        <w:autoSpaceDE w:val="0"/>
        <w:autoSpaceDN w:val="0"/>
        <w:adjustRightInd w:val="0"/>
        <w:spacing w:after="0" w:line="360" w:lineRule="auto"/>
        <w:jc w:val="both"/>
        <w:rPr>
          <w:rFonts w:ascii="Arial" w:hAnsi="Arial" w:cs="Arial"/>
          <w:sz w:val="24"/>
          <w:szCs w:val="24"/>
        </w:rPr>
      </w:pPr>
    </w:p>
    <w:p w14:paraId="5A730AEF" w14:textId="77777777" w:rsidR="009D1392" w:rsidRPr="00E22F7C" w:rsidRDefault="009D1392" w:rsidP="00750290">
      <w:pPr>
        <w:autoSpaceDE w:val="0"/>
        <w:autoSpaceDN w:val="0"/>
        <w:adjustRightInd w:val="0"/>
        <w:spacing w:after="0" w:line="360" w:lineRule="auto"/>
        <w:jc w:val="both"/>
        <w:rPr>
          <w:rFonts w:ascii="Arial" w:hAnsi="Arial" w:cs="Arial"/>
          <w:sz w:val="24"/>
          <w:szCs w:val="24"/>
        </w:rPr>
      </w:pPr>
    </w:p>
    <w:sectPr w:rsidR="009D1392" w:rsidRPr="00E22F7C" w:rsidSect="007C271B">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7B5D3" w14:textId="77777777" w:rsidR="00CE67A5" w:rsidRDefault="00CE67A5" w:rsidP="001645FF">
      <w:pPr>
        <w:spacing w:after="0" w:line="240" w:lineRule="auto"/>
      </w:pPr>
      <w:r>
        <w:separator/>
      </w:r>
    </w:p>
  </w:endnote>
  <w:endnote w:type="continuationSeparator" w:id="0">
    <w:p w14:paraId="03E4E1AB" w14:textId="77777777" w:rsidR="00CE67A5" w:rsidRDefault="00CE67A5" w:rsidP="0016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FAE79" w14:textId="77777777" w:rsidR="005C3175" w:rsidRDefault="005C3175">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81438" w14:textId="7E650B7A" w:rsidR="001645FF" w:rsidRDefault="001645FF">
    <w:pPr>
      <w:pStyle w:val="Rodap"/>
    </w:pPr>
    <w:r w:rsidRPr="006D19C0">
      <w:t xml:space="preserve">Prova </w:t>
    </w:r>
    <w:r w:rsidR="006D19C0" w:rsidRPr="006D19C0">
      <w:t>18</w:t>
    </w:r>
    <w:r>
      <w:t>/20</w:t>
    </w:r>
    <w:r w:rsidR="00B2409F">
      <w:t>2</w:t>
    </w:r>
    <w:r w:rsidR="005C3175">
      <w:t>5</w:t>
    </w:r>
    <w:r>
      <w:ptab w:relativeTo="margin" w:alignment="center" w:leader="none"/>
    </w:r>
    <w:r w:rsidR="00C5681D">
      <w:t>I</w:t>
    </w:r>
    <w:r>
      <w:t>nf</w:t>
    </w:r>
    <w:r w:rsidR="00987F90">
      <w:t xml:space="preserve">ormação-Prova </w:t>
    </w:r>
    <w:r w:rsidR="0032025B" w:rsidRPr="0032025B">
      <w:t xml:space="preserve">de equivalência à frequência </w:t>
    </w:r>
    <w:r>
      <w:ptab w:relativeTo="margin" w:alignment="right" w:leader="none"/>
    </w:r>
    <w:r w:rsidR="000C21CA">
      <w:t xml:space="preserve">Página </w:t>
    </w:r>
    <w:r w:rsidR="009364F6">
      <w:rPr>
        <w:b/>
      </w:rPr>
      <w:fldChar w:fldCharType="begin"/>
    </w:r>
    <w:r w:rsidR="000C21CA">
      <w:rPr>
        <w:b/>
      </w:rPr>
      <w:instrText>PAGE  \* Arabic  \* MERGEFORMAT</w:instrText>
    </w:r>
    <w:r w:rsidR="009364F6">
      <w:rPr>
        <w:b/>
      </w:rPr>
      <w:fldChar w:fldCharType="separate"/>
    </w:r>
    <w:r w:rsidR="001B5431">
      <w:rPr>
        <w:b/>
        <w:noProof/>
      </w:rPr>
      <w:t>1</w:t>
    </w:r>
    <w:r w:rsidR="009364F6">
      <w:rPr>
        <w:b/>
      </w:rPr>
      <w:fldChar w:fldCharType="end"/>
    </w:r>
    <w:r w:rsidR="000C21CA">
      <w:t>/</w:t>
    </w:r>
    <w:fldSimple w:instr="NUMPAGES  \* Arabic  \* MERGEFORMAT">
      <w:r w:rsidR="001B5431">
        <w:rPr>
          <w:b/>
          <w:noProof/>
        </w:rPr>
        <w:t>5</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4A887" w14:textId="77777777" w:rsidR="005C3175" w:rsidRDefault="005C317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1253A" w14:textId="77777777" w:rsidR="00CE67A5" w:rsidRDefault="00CE67A5" w:rsidP="001645FF">
      <w:pPr>
        <w:spacing w:after="0" w:line="240" w:lineRule="auto"/>
      </w:pPr>
      <w:r>
        <w:separator/>
      </w:r>
    </w:p>
  </w:footnote>
  <w:footnote w:type="continuationSeparator" w:id="0">
    <w:p w14:paraId="654D458D" w14:textId="77777777" w:rsidR="00CE67A5" w:rsidRDefault="00CE67A5" w:rsidP="0016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C442A" w14:textId="77777777" w:rsidR="005C3175" w:rsidRDefault="005C3175">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61D38" w14:textId="77777777" w:rsidR="005C3175" w:rsidRDefault="005C317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74CB8" w14:textId="77777777" w:rsidR="005C3175" w:rsidRDefault="005C317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35134C"/>
    <w:multiLevelType w:val="hybridMultilevel"/>
    <w:tmpl w:val="1B64434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825122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A06"/>
    <w:rsid w:val="000B0404"/>
    <w:rsid w:val="000C0880"/>
    <w:rsid w:val="000C21CA"/>
    <w:rsid w:val="00131255"/>
    <w:rsid w:val="001645FF"/>
    <w:rsid w:val="00185E05"/>
    <w:rsid w:val="00186831"/>
    <w:rsid w:val="001B5431"/>
    <w:rsid w:val="002640DA"/>
    <w:rsid w:val="002902EF"/>
    <w:rsid w:val="002949E0"/>
    <w:rsid w:val="002A046C"/>
    <w:rsid w:val="002A2822"/>
    <w:rsid w:val="002B711E"/>
    <w:rsid w:val="002C3045"/>
    <w:rsid w:val="002C51FE"/>
    <w:rsid w:val="00316828"/>
    <w:rsid w:val="0032025B"/>
    <w:rsid w:val="00373EE3"/>
    <w:rsid w:val="003C4232"/>
    <w:rsid w:val="003D7122"/>
    <w:rsid w:val="00405FF9"/>
    <w:rsid w:val="00496896"/>
    <w:rsid w:val="004B00EE"/>
    <w:rsid w:val="004D44CF"/>
    <w:rsid w:val="004E6189"/>
    <w:rsid w:val="00555641"/>
    <w:rsid w:val="005B5AD8"/>
    <w:rsid w:val="005C3175"/>
    <w:rsid w:val="005F6BCD"/>
    <w:rsid w:val="006069D9"/>
    <w:rsid w:val="00633F61"/>
    <w:rsid w:val="006B594D"/>
    <w:rsid w:val="006D19C0"/>
    <w:rsid w:val="00705A35"/>
    <w:rsid w:val="0070629A"/>
    <w:rsid w:val="00750290"/>
    <w:rsid w:val="00777E9B"/>
    <w:rsid w:val="00795C55"/>
    <w:rsid w:val="007C271B"/>
    <w:rsid w:val="00850707"/>
    <w:rsid w:val="00850D52"/>
    <w:rsid w:val="00857FD4"/>
    <w:rsid w:val="00892198"/>
    <w:rsid w:val="009364F6"/>
    <w:rsid w:val="00940453"/>
    <w:rsid w:val="0096613A"/>
    <w:rsid w:val="00987F90"/>
    <w:rsid w:val="009D1392"/>
    <w:rsid w:val="00A31C12"/>
    <w:rsid w:val="00AD05C3"/>
    <w:rsid w:val="00AF5C50"/>
    <w:rsid w:val="00B2409F"/>
    <w:rsid w:val="00B80196"/>
    <w:rsid w:val="00BA7FB5"/>
    <w:rsid w:val="00BB1000"/>
    <w:rsid w:val="00BB3440"/>
    <w:rsid w:val="00BF3C2C"/>
    <w:rsid w:val="00BF40BF"/>
    <w:rsid w:val="00C070A3"/>
    <w:rsid w:val="00C24BF1"/>
    <w:rsid w:val="00C458C0"/>
    <w:rsid w:val="00C5681D"/>
    <w:rsid w:val="00C936B4"/>
    <w:rsid w:val="00CD3702"/>
    <w:rsid w:val="00CE67A5"/>
    <w:rsid w:val="00DB1682"/>
    <w:rsid w:val="00DB5B29"/>
    <w:rsid w:val="00DC008A"/>
    <w:rsid w:val="00DF0A06"/>
    <w:rsid w:val="00E106B4"/>
    <w:rsid w:val="00E22F7C"/>
    <w:rsid w:val="00E25878"/>
    <w:rsid w:val="00E306F4"/>
    <w:rsid w:val="00E32FC0"/>
    <w:rsid w:val="00E4491F"/>
    <w:rsid w:val="00EA6954"/>
    <w:rsid w:val="00ED14C0"/>
    <w:rsid w:val="00ED5324"/>
    <w:rsid w:val="00F45362"/>
    <w:rsid w:val="0DF13D0B"/>
    <w:rsid w:val="1128DDCD"/>
    <w:rsid w:val="1601ABC5"/>
    <w:rsid w:val="1E8FF14B"/>
    <w:rsid w:val="21864BED"/>
    <w:rsid w:val="2E91891B"/>
    <w:rsid w:val="314EEF16"/>
    <w:rsid w:val="38A2C021"/>
    <w:rsid w:val="3BDA60E3"/>
    <w:rsid w:val="3DFE25E9"/>
    <w:rsid w:val="3FF8308A"/>
    <w:rsid w:val="41B90186"/>
    <w:rsid w:val="42791A18"/>
    <w:rsid w:val="42FD4C3A"/>
    <w:rsid w:val="4513F343"/>
    <w:rsid w:val="47394560"/>
    <w:rsid w:val="48A3EA6E"/>
    <w:rsid w:val="4BDB8B30"/>
    <w:rsid w:val="4E7E5C31"/>
    <w:rsid w:val="4EC22430"/>
    <w:rsid w:val="501A2C92"/>
    <w:rsid w:val="533A60C7"/>
    <w:rsid w:val="58BC110E"/>
    <w:rsid w:val="5E493018"/>
    <w:rsid w:val="5E66E6E0"/>
    <w:rsid w:val="5E9C6D81"/>
    <w:rsid w:val="64428BB4"/>
    <w:rsid w:val="64DCB84A"/>
    <w:rsid w:val="65D253E3"/>
    <w:rsid w:val="7590F7C5"/>
    <w:rsid w:val="7B6A0B1E"/>
  </w:rsids>
  <m:mathPr>
    <m:mathFont m:val="Cambria Math"/>
    <m:brkBin m:val="before"/>
    <m:brkBinSub m:val="--"/>
    <m:smallFrac/>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0073F4"/>
  <w15:docId w15:val="{66D3CFB1-2E35-4C40-9031-54760B0C3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4F6"/>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2640DA"/>
    <w:pPr>
      <w:autoSpaceDE w:val="0"/>
      <w:autoSpaceDN w:val="0"/>
      <w:adjustRightInd w:val="0"/>
      <w:spacing w:after="0" w:line="240" w:lineRule="auto"/>
    </w:pPr>
    <w:rPr>
      <w:rFonts w:ascii="Arial" w:hAnsi="Arial" w:cs="Arial"/>
      <w:color w:val="000000"/>
      <w:sz w:val="24"/>
      <w:szCs w:val="24"/>
    </w:rPr>
  </w:style>
  <w:style w:type="paragraph" w:styleId="SemEspaamento">
    <w:name w:val="No Spacing"/>
    <w:uiPriority w:val="1"/>
    <w:qFormat/>
    <w:rsid w:val="002640DA"/>
    <w:pPr>
      <w:spacing w:after="0" w:line="240" w:lineRule="auto"/>
    </w:pPr>
  </w:style>
  <w:style w:type="paragraph" w:styleId="Cabealho">
    <w:name w:val="header"/>
    <w:basedOn w:val="Normal"/>
    <w:link w:val="CabealhoCarter"/>
    <w:uiPriority w:val="99"/>
    <w:unhideWhenUsed/>
    <w:rsid w:val="001645FF"/>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645FF"/>
  </w:style>
  <w:style w:type="paragraph" w:styleId="Rodap">
    <w:name w:val="footer"/>
    <w:basedOn w:val="Normal"/>
    <w:link w:val="RodapCarter"/>
    <w:uiPriority w:val="99"/>
    <w:unhideWhenUsed/>
    <w:rsid w:val="001645FF"/>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645FF"/>
  </w:style>
  <w:style w:type="table" w:styleId="TabelacomGrelha">
    <w:name w:val="Table Grid"/>
    <w:basedOn w:val="Tabelanormal"/>
    <w:uiPriority w:val="39"/>
    <w:rsid w:val="00633F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205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e538fe1-cf49-447a-beb4-afcefa6823b5" xsi:nil="true"/>
    <lcf76f155ced4ddcb4097134ff3c332f xmlns="21641004-2952-4573-9ded-0de3ac29f63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79D4DEFB694DB45A7337E92499931C8" ma:contentTypeVersion="11" ma:contentTypeDescription="Criar um novo documento." ma:contentTypeScope="" ma:versionID="25b2375da210c7add5ca277e01bec752">
  <xsd:schema xmlns:xsd="http://www.w3.org/2001/XMLSchema" xmlns:xs="http://www.w3.org/2001/XMLSchema" xmlns:p="http://schemas.microsoft.com/office/2006/metadata/properties" xmlns:ns2="21641004-2952-4573-9ded-0de3ac29f63a" xmlns:ns3="3e538fe1-cf49-447a-beb4-afcefa6823b5" targetNamespace="http://schemas.microsoft.com/office/2006/metadata/properties" ma:root="true" ma:fieldsID="a4b69cd61e4c931fdc7c078f61b73ec5" ns2:_="" ns3:_="">
    <xsd:import namespace="21641004-2952-4573-9ded-0de3ac29f63a"/>
    <xsd:import namespace="3e538fe1-cf49-447a-beb4-afcefa6823b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41004-2952-4573-9ded-0de3ac29f6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Etiquetas de Imagem" ma:readOnly="false" ma:fieldId="{5cf76f15-5ced-4ddc-b409-7134ff3c332f}" ma:taxonomyMulti="true" ma:sspId="c1961a01-dfe9-49ec-b501-af6c29980baa"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538fe1-cf49-447a-beb4-afcefa6823b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3e9e112-df14-44dc-87ce-a7a4130a2b75}" ma:internalName="TaxCatchAll" ma:showField="CatchAllData" ma:web="3e538fe1-cf49-447a-beb4-afcefa6823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D723C-3A31-4FCC-A8CD-0A0C62E9A609}">
  <ds:schemaRefs>
    <ds:schemaRef ds:uri="http://schemas.microsoft.com/sharepoint/v3/contenttype/forms"/>
  </ds:schemaRefs>
</ds:datastoreItem>
</file>

<file path=customXml/itemProps2.xml><?xml version="1.0" encoding="utf-8"?>
<ds:datastoreItem xmlns:ds="http://schemas.openxmlformats.org/officeDocument/2006/customXml" ds:itemID="{38C449AC-2847-46AC-B142-3A60DA5E67EB}">
  <ds:schemaRefs>
    <ds:schemaRef ds:uri="http://schemas.microsoft.com/office/2006/metadata/properties"/>
    <ds:schemaRef ds:uri="http://schemas.microsoft.com/office/infopath/2007/PartnerControls"/>
    <ds:schemaRef ds:uri="3e538fe1-cf49-447a-beb4-afcefa6823b5"/>
    <ds:schemaRef ds:uri="21641004-2952-4573-9ded-0de3ac29f63a"/>
  </ds:schemaRefs>
</ds:datastoreItem>
</file>

<file path=customXml/itemProps3.xml><?xml version="1.0" encoding="utf-8"?>
<ds:datastoreItem xmlns:ds="http://schemas.openxmlformats.org/officeDocument/2006/customXml" ds:itemID="{49D5ACC8-F4C2-421A-8037-CA225BB59A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41004-2952-4573-9ded-0de3ac29f63a"/>
    <ds:schemaRef ds:uri="3e538fe1-cf49-447a-beb4-afcefa6823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542269-4540-47FA-859F-245486447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760</Words>
  <Characters>4108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gouveia</dc:creator>
  <cp:keywords/>
  <dc:description/>
  <cp:lastModifiedBy>João Ricardo Nunes Freitas Macedo</cp:lastModifiedBy>
  <cp:revision>3</cp:revision>
  <cp:lastPrinted>2024-03-18T22:39:00Z</cp:lastPrinted>
  <dcterms:created xsi:type="dcterms:W3CDTF">2025-04-24T10:03:00Z</dcterms:created>
  <dcterms:modified xsi:type="dcterms:W3CDTF">2025-05-05T15:18:00Z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0x010100A79D4DEFB694DB45A7337E92499931C8</vt:lpwstr>
  </property>
</Properties>
</file>